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text" w:tblpX="-431" w:tblpY="1"/>
        <w:tblOverlap w:val="never"/>
        <w:tblW w:w="14309" w:type="dxa"/>
        <w:tblLook w:val="04A0" w:firstRow="1" w:lastRow="0" w:firstColumn="1" w:lastColumn="0" w:noHBand="0" w:noVBand="1"/>
      </w:tblPr>
      <w:tblGrid>
        <w:gridCol w:w="834"/>
        <w:gridCol w:w="1566"/>
        <w:gridCol w:w="2131"/>
        <w:gridCol w:w="4962"/>
        <w:gridCol w:w="4816"/>
      </w:tblGrid>
      <w:tr w:rsidR="0004003F" w:rsidRPr="008325B3" w14:paraId="606905A3" w14:textId="77777777" w:rsidTr="001D2343">
        <w:trPr>
          <w:trHeight w:val="550"/>
          <w:tblHeader/>
        </w:trPr>
        <w:tc>
          <w:tcPr>
            <w:tcW w:w="14309" w:type="dxa"/>
            <w:gridSpan w:val="5"/>
            <w:shd w:val="clear" w:color="auto" w:fill="D5DCE4" w:themeFill="text2" w:themeFillTint="33"/>
          </w:tcPr>
          <w:p w14:paraId="35556C18" w14:textId="65489BF5" w:rsidR="004A503C" w:rsidRPr="0048102F" w:rsidRDefault="004A503C" w:rsidP="00B62148">
            <w:pPr>
              <w:jc w:val="center"/>
              <w:rPr>
                <w:rFonts w:cs="Times New Roman"/>
                <w:b/>
                <w:bCs/>
                <w:sz w:val="20"/>
                <w:szCs w:val="20"/>
              </w:rPr>
            </w:pPr>
          </w:p>
          <w:p w14:paraId="1FFC86E8" w14:textId="77777777" w:rsidR="0004003F" w:rsidRPr="008325B3" w:rsidRDefault="004A503C" w:rsidP="00B62148">
            <w:pPr>
              <w:jc w:val="center"/>
              <w:rPr>
                <w:rFonts w:cs="Times New Roman"/>
                <w:b/>
                <w:bCs/>
                <w:sz w:val="20"/>
                <w:szCs w:val="20"/>
              </w:rPr>
            </w:pPr>
            <w:r w:rsidRPr="008325B3">
              <w:rPr>
                <w:rFonts w:cs="Times New Roman"/>
                <w:b/>
                <w:bCs/>
                <w:sz w:val="20"/>
                <w:szCs w:val="20"/>
              </w:rPr>
              <w:t>T</w:t>
            </w:r>
            <w:r w:rsidR="0004003F" w:rsidRPr="008325B3">
              <w:rPr>
                <w:rFonts w:cs="Times New Roman"/>
                <w:b/>
                <w:bCs/>
                <w:sz w:val="20"/>
                <w:szCs w:val="20"/>
              </w:rPr>
              <w:t xml:space="preserve">abela uwag zgłoszonych do projektu </w:t>
            </w:r>
            <w:r w:rsidR="00303C4F" w:rsidRPr="008325B3">
              <w:rPr>
                <w:rFonts w:cs="Times New Roman"/>
                <w:b/>
                <w:bCs/>
                <w:sz w:val="20"/>
                <w:szCs w:val="20"/>
              </w:rPr>
              <w:t>r</w:t>
            </w:r>
            <w:r w:rsidR="0004003F" w:rsidRPr="008325B3">
              <w:rPr>
                <w:rFonts w:cs="Times New Roman"/>
                <w:b/>
                <w:bCs/>
                <w:sz w:val="20"/>
                <w:szCs w:val="20"/>
              </w:rPr>
              <w:t xml:space="preserve">ozporządzenia Ministra Sprawiedliwości </w:t>
            </w:r>
            <w:r w:rsidR="00001D08" w:rsidRPr="008325B3">
              <w:rPr>
                <w:rFonts w:cs="Times New Roman"/>
                <w:b/>
                <w:bCs/>
                <w:sz w:val="20"/>
                <w:szCs w:val="20"/>
              </w:rPr>
              <w:t xml:space="preserve">w sprawie szczegółowego trybu i sposobu doręczania pism sądowych za pośrednictwem portalu informacyjnego (A516) </w:t>
            </w:r>
            <w:r w:rsidR="0004003F" w:rsidRPr="008325B3">
              <w:rPr>
                <w:rFonts w:cs="Times New Roman"/>
                <w:b/>
                <w:bCs/>
                <w:sz w:val="20"/>
                <w:szCs w:val="20"/>
              </w:rPr>
              <w:t>na etapi</w:t>
            </w:r>
            <w:r w:rsidR="00D567C8" w:rsidRPr="008325B3">
              <w:rPr>
                <w:rFonts w:cs="Times New Roman"/>
                <w:b/>
                <w:bCs/>
                <w:sz w:val="20"/>
                <w:szCs w:val="20"/>
              </w:rPr>
              <w:t xml:space="preserve">e </w:t>
            </w:r>
            <w:r w:rsidR="008A16DE" w:rsidRPr="008325B3">
              <w:rPr>
                <w:rFonts w:cs="Times New Roman"/>
                <w:b/>
                <w:bCs/>
                <w:sz w:val="20"/>
                <w:szCs w:val="20"/>
                <w:u w:val="single"/>
              </w:rPr>
              <w:t>opiniowania</w:t>
            </w:r>
            <w:r w:rsidR="0004003F" w:rsidRPr="008325B3">
              <w:rPr>
                <w:rFonts w:cs="Times New Roman"/>
                <w:b/>
                <w:bCs/>
                <w:sz w:val="20"/>
                <w:szCs w:val="20"/>
              </w:rPr>
              <w:t xml:space="preserve"> wraz ze stanowiskiem resortu wobec uwag.</w:t>
            </w:r>
          </w:p>
          <w:p w14:paraId="35678BC0" w14:textId="2920AAE3" w:rsidR="004A503C" w:rsidRPr="008325B3" w:rsidRDefault="004A503C" w:rsidP="00B62148">
            <w:pPr>
              <w:jc w:val="center"/>
              <w:rPr>
                <w:rFonts w:cs="Times New Roman"/>
                <w:b/>
                <w:bCs/>
                <w:sz w:val="20"/>
                <w:szCs w:val="20"/>
              </w:rPr>
            </w:pPr>
          </w:p>
        </w:tc>
      </w:tr>
      <w:tr w:rsidR="00F0600D" w:rsidRPr="008325B3" w14:paraId="0D68A99B" w14:textId="77777777" w:rsidTr="00F0600D">
        <w:trPr>
          <w:trHeight w:val="704"/>
          <w:tblHeader/>
        </w:trPr>
        <w:tc>
          <w:tcPr>
            <w:tcW w:w="834" w:type="dxa"/>
            <w:shd w:val="clear" w:color="auto" w:fill="D5DCE4" w:themeFill="text2" w:themeFillTint="33"/>
          </w:tcPr>
          <w:p w14:paraId="4A60A509" w14:textId="77777777" w:rsidR="004A503C" w:rsidRPr="008325B3" w:rsidRDefault="004A503C" w:rsidP="00E36D10">
            <w:pPr>
              <w:jc w:val="center"/>
              <w:rPr>
                <w:rFonts w:cs="Times New Roman"/>
                <w:b/>
                <w:bCs/>
                <w:sz w:val="20"/>
                <w:szCs w:val="20"/>
              </w:rPr>
            </w:pPr>
          </w:p>
          <w:p w14:paraId="380A2398" w14:textId="78A81DA9" w:rsidR="00F0600D" w:rsidRPr="008325B3" w:rsidRDefault="00F0600D" w:rsidP="00E36D10">
            <w:pPr>
              <w:jc w:val="center"/>
              <w:rPr>
                <w:rFonts w:cs="Times New Roman"/>
                <w:b/>
                <w:bCs/>
                <w:sz w:val="20"/>
                <w:szCs w:val="20"/>
              </w:rPr>
            </w:pPr>
            <w:r w:rsidRPr="008325B3">
              <w:rPr>
                <w:rFonts w:cs="Times New Roman"/>
                <w:b/>
                <w:bCs/>
                <w:sz w:val="20"/>
                <w:szCs w:val="20"/>
              </w:rPr>
              <w:t>L.p.</w:t>
            </w:r>
          </w:p>
        </w:tc>
        <w:tc>
          <w:tcPr>
            <w:tcW w:w="1566" w:type="dxa"/>
            <w:shd w:val="clear" w:color="auto" w:fill="D5DCE4" w:themeFill="text2" w:themeFillTint="33"/>
          </w:tcPr>
          <w:p w14:paraId="100B5535" w14:textId="77777777" w:rsidR="00F0600D" w:rsidRPr="008325B3" w:rsidRDefault="00F0600D" w:rsidP="00E36D10">
            <w:pPr>
              <w:jc w:val="center"/>
              <w:rPr>
                <w:rFonts w:cs="Times New Roman"/>
                <w:b/>
                <w:bCs/>
                <w:sz w:val="20"/>
                <w:szCs w:val="20"/>
              </w:rPr>
            </w:pPr>
            <w:r w:rsidRPr="008325B3">
              <w:rPr>
                <w:rFonts w:cs="Times New Roman"/>
                <w:b/>
                <w:bCs/>
                <w:sz w:val="20"/>
                <w:szCs w:val="20"/>
              </w:rPr>
              <w:t>Jednostka redakcyjna, do której zgłaszana jest uwaga</w:t>
            </w:r>
          </w:p>
          <w:p w14:paraId="78044ED7" w14:textId="77777777" w:rsidR="004A503C" w:rsidRPr="008325B3" w:rsidRDefault="004A503C" w:rsidP="00E36D10">
            <w:pPr>
              <w:jc w:val="center"/>
              <w:rPr>
                <w:rFonts w:cs="Times New Roman"/>
                <w:b/>
                <w:bCs/>
                <w:sz w:val="20"/>
                <w:szCs w:val="20"/>
              </w:rPr>
            </w:pPr>
          </w:p>
        </w:tc>
        <w:tc>
          <w:tcPr>
            <w:tcW w:w="2131" w:type="dxa"/>
            <w:shd w:val="clear" w:color="auto" w:fill="D5DCE4" w:themeFill="text2" w:themeFillTint="33"/>
          </w:tcPr>
          <w:p w14:paraId="5ECCDC32" w14:textId="77777777" w:rsidR="004A503C" w:rsidRPr="008325B3" w:rsidRDefault="004A503C" w:rsidP="00E36D10">
            <w:pPr>
              <w:jc w:val="center"/>
              <w:rPr>
                <w:rFonts w:cs="Times New Roman"/>
                <w:b/>
                <w:bCs/>
                <w:sz w:val="20"/>
                <w:szCs w:val="20"/>
              </w:rPr>
            </w:pPr>
          </w:p>
          <w:p w14:paraId="489CE32D" w14:textId="02A3BE6C" w:rsidR="00F0600D" w:rsidRPr="008325B3" w:rsidRDefault="00F0600D" w:rsidP="00E36D10">
            <w:pPr>
              <w:jc w:val="center"/>
              <w:rPr>
                <w:rFonts w:cs="Times New Roman"/>
                <w:b/>
                <w:bCs/>
                <w:sz w:val="20"/>
                <w:szCs w:val="20"/>
              </w:rPr>
            </w:pPr>
            <w:r w:rsidRPr="008325B3">
              <w:rPr>
                <w:rFonts w:cs="Times New Roman"/>
                <w:b/>
                <w:bCs/>
                <w:sz w:val="20"/>
                <w:szCs w:val="20"/>
              </w:rPr>
              <w:t>Podmiot zgłaszający uwagę</w:t>
            </w:r>
          </w:p>
        </w:tc>
        <w:tc>
          <w:tcPr>
            <w:tcW w:w="4962" w:type="dxa"/>
            <w:shd w:val="clear" w:color="auto" w:fill="D5DCE4" w:themeFill="text2" w:themeFillTint="33"/>
          </w:tcPr>
          <w:p w14:paraId="6644EA78" w14:textId="77777777" w:rsidR="004A503C" w:rsidRPr="008325B3" w:rsidRDefault="004A503C" w:rsidP="00B62148">
            <w:pPr>
              <w:jc w:val="center"/>
              <w:rPr>
                <w:rFonts w:cs="Times New Roman"/>
                <w:b/>
                <w:bCs/>
                <w:sz w:val="20"/>
                <w:szCs w:val="20"/>
              </w:rPr>
            </w:pPr>
          </w:p>
          <w:p w14:paraId="45C402D3" w14:textId="1DD09731" w:rsidR="00F0600D" w:rsidRPr="008325B3" w:rsidRDefault="00F0600D" w:rsidP="00B62148">
            <w:pPr>
              <w:jc w:val="center"/>
              <w:rPr>
                <w:rFonts w:cs="Times New Roman"/>
                <w:b/>
                <w:bCs/>
                <w:sz w:val="20"/>
                <w:szCs w:val="20"/>
              </w:rPr>
            </w:pPr>
            <w:r w:rsidRPr="008325B3">
              <w:rPr>
                <w:rFonts w:cs="Times New Roman"/>
                <w:b/>
                <w:bCs/>
                <w:sz w:val="20"/>
                <w:szCs w:val="20"/>
              </w:rPr>
              <w:t>Treść uwagi</w:t>
            </w:r>
          </w:p>
        </w:tc>
        <w:tc>
          <w:tcPr>
            <w:tcW w:w="4816" w:type="dxa"/>
            <w:shd w:val="clear" w:color="auto" w:fill="D5DCE4" w:themeFill="text2" w:themeFillTint="33"/>
          </w:tcPr>
          <w:p w14:paraId="514FEF7F" w14:textId="77777777" w:rsidR="004A503C" w:rsidRPr="008325B3" w:rsidRDefault="004A503C" w:rsidP="00B62148">
            <w:pPr>
              <w:jc w:val="center"/>
              <w:rPr>
                <w:rFonts w:cs="Times New Roman"/>
                <w:sz w:val="20"/>
                <w:szCs w:val="20"/>
              </w:rPr>
            </w:pPr>
          </w:p>
          <w:p w14:paraId="0BAD2B74" w14:textId="7CE3FC38" w:rsidR="00F0600D" w:rsidRPr="008325B3" w:rsidRDefault="00F0600D" w:rsidP="00B62148">
            <w:pPr>
              <w:jc w:val="center"/>
              <w:rPr>
                <w:rFonts w:cs="Times New Roman"/>
                <w:b/>
                <w:bCs/>
                <w:sz w:val="20"/>
                <w:szCs w:val="20"/>
              </w:rPr>
            </w:pPr>
            <w:r w:rsidRPr="008325B3">
              <w:rPr>
                <w:rFonts w:cs="Times New Roman"/>
                <w:b/>
                <w:bCs/>
                <w:sz w:val="20"/>
                <w:szCs w:val="20"/>
              </w:rPr>
              <w:t>Stanowisko resortu</w:t>
            </w:r>
          </w:p>
        </w:tc>
      </w:tr>
      <w:tr w:rsidR="00F0600D" w:rsidRPr="008325B3" w14:paraId="0A89FD5D" w14:textId="77777777" w:rsidTr="00F0600D">
        <w:trPr>
          <w:trHeight w:val="1098"/>
        </w:trPr>
        <w:tc>
          <w:tcPr>
            <w:tcW w:w="834" w:type="dxa"/>
          </w:tcPr>
          <w:p w14:paraId="033F5616" w14:textId="228EF4E2" w:rsidR="00F0600D" w:rsidRPr="008325B3" w:rsidRDefault="004832D9" w:rsidP="00E36D10">
            <w:pPr>
              <w:tabs>
                <w:tab w:val="left" w:pos="360"/>
              </w:tabs>
              <w:jc w:val="center"/>
              <w:rPr>
                <w:rFonts w:cs="Times New Roman"/>
                <w:sz w:val="20"/>
                <w:szCs w:val="20"/>
              </w:rPr>
            </w:pPr>
            <w:r w:rsidRPr="008325B3">
              <w:rPr>
                <w:rFonts w:cs="Times New Roman"/>
                <w:sz w:val="20"/>
                <w:szCs w:val="20"/>
              </w:rPr>
              <w:t>1</w:t>
            </w:r>
          </w:p>
        </w:tc>
        <w:tc>
          <w:tcPr>
            <w:tcW w:w="1566" w:type="dxa"/>
          </w:tcPr>
          <w:p w14:paraId="2FD63501" w14:textId="32CB99F0" w:rsidR="00F0600D" w:rsidRPr="008325B3" w:rsidRDefault="00BB7D70" w:rsidP="00E36D10">
            <w:pPr>
              <w:jc w:val="center"/>
              <w:rPr>
                <w:rFonts w:cs="Times New Roman"/>
                <w:b/>
                <w:bCs/>
                <w:sz w:val="20"/>
                <w:szCs w:val="20"/>
              </w:rPr>
            </w:pPr>
            <w:r w:rsidRPr="008325B3">
              <w:rPr>
                <w:rFonts w:cs="Times New Roman"/>
                <w:b/>
                <w:bCs/>
                <w:sz w:val="20"/>
                <w:szCs w:val="20"/>
              </w:rPr>
              <w:t>§ 1 projektu</w:t>
            </w:r>
          </w:p>
        </w:tc>
        <w:tc>
          <w:tcPr>
            <w:tcW w:w="2131" w:type="dxa"/>
          </w:tcPr>
          <w:p w14:paraId="17DFC174" w14:textId="4F3802AE" w:rsidR="00F0600D" w:rsidRPr="008325B3" w:rsidRDefault="00F0600D" w:rsidP="00E36D10">
            <w:pPr>
              <w:jc w:val="center"/>
              <w:rPr>
                <w:rFonts w:cs="Times New Roman"/>
                <w:sz w:val="20"/>
                <w:szCs w:val="20"/>
              </w:rPr>
            </w:pPr>
            <w:r w:rsidRPr="008325B3">
              <w:rPr>
                <w:rFonts w:cs="Times New Roman"/>
                <w:b/>
                <w:bCs/>
                <w:sz w:val="20"/>
                <w:szCs w:val="20"/>
              </w:rPr>
              <w:t>Prezes P</w:t>
            </w:r>
            <w:r w:rsidR="00C33159" w:rsidRPr="008325B3">
              <w:rPr>
                <w:rFonts w:cs="Times New Roman"/>
                <w:b/>
                <w:bCs/>
                <w:sz w:val="20"/>
                <w:szCs w:val="20"/>
              </w:rPr>
              <w:t>GRP</w:t>
            </w:r>
          </w:p>
        </w:tc>
        <w:tc>
          <w:tcPr>
            <w:tcW w:w="4962" w:type="dxa"/>
          </w:tcPr>
          <w:p w14:paraId="569F6612" w14:textId="5D2411B2" w:rsidR="00F0600D" w:rsidRPr="008325B3" w:rsidRDefault="00F0600D" w:rsidP="004C27B4">
            <w:pPr>
              <w:jc w:val="both"/>
              <w:rPr>
                <w:rFonts w:cs="Times New Roman"/>
                <w:sz w:val="20"/>
                <w:szCs w:val="20"/>
              </w:rPr>
            </w:pPr>
            <w:r w:rsidRPr="008325B3">
              <w:rPr>
                <w:rFonts w:cs="Times New Roman"/>
                <w:sz w:val="20"/>
                <w:szCs w:val="20"/>
              </w:rPr>
              <w:t>Przekazany proj. bazuje w dużej mierze na schematach rozwiązań przyjętych w obowiązujących aktach wykonawczych wydanych na podstawie art. 131</w:t>
            </w:r>
            <w:r w:rsidRPr="008325B3">
              <w:rPr>
                <w:rFonts w:cs="Times New Roman"/>
                <w:sz w:val="20"/>
                <w:szCs w:val="20"/>
                <w:vertAlign w:val="superscript"/>
              </w:rPr>
              <w:t>1</w:t>
            </w:r>
            <w:r w:rsidRPr="008325B3">
              <w:rPr>
                <w:rFonts w:cs="Times New Roman"/>
                <w:sz w:val="20"/>
                <w:szCs w:val="20"/>
              </w:rPr>
              <w:t xml:space="preserve"> § 3 k.p.c</w:t>
            </w:r>
            <w:r w:rsidR="003F7B5D">
              <w:rPr>
                <w:rFonts w:cs="Times New Roman"/>
                <w:sz w:val="20"/>
                <w:szCs w:val="20"/>
              </w:rPr>
              <w:t>.</w:t>
            </w:r>
            <w:r w:rsidRPr="008325B3">
              <w:rPr>
                <w:rFonts w:cs="Times New Roman"/>
                <w:sz w:val="20"/>
                <w:szCs w:val="20"/>
              </w:rPr>
              <w:t xml:space="preserve"> (doręczenia elektroniczne w procedurze cywilnej), art. 198 ust. 7 p.r. (doręczenia elektroniczne w postępowaniach restrukturyzacyjnych) i art. 220 ust. 7 p.u. (doręczenia elektroniczne w postępowaniach upadłościowych). Akty te zostały wydane na podstawie upoważnień, dla których wspólnym elementem zakresu przedmiotowego regulacji jest obowiązek określenia </w:t>
            </w:r>
            <w:r w:rsidRPr="008325B3">
              <w:rPr>
                <w:rFonts w:cs="Times New Roman"/>
                <w:i/>
                <w:iCs/>
                <w:sz w:val="20"/>
                <w:szCs w:val="20"/>
              </w:rPr>
              <w:t>„trybu i sposobu dokonywania doręczeń elektronicznych”</w:t>
            </w:r>
            <w:r w:rsidRPr="008325B3">
              <w:rPr>
                <w:rFonts w:cs="Times New Roman"/>
                <w:sz w:val="20"/>
                <w:szCs w:val="20"/>
              </w:rPr>
              <w:t xml:space="preserve">. </w:t>
            </w:r>
            <w:r w:rsidRPr="008325B3">
              <w:rPr>
                <w:rFonts w:cs="Times New Roman"/>
                <w:sz w:val="20"/>
                <w:szCs w:val="20"/>
                <w:u w:val="single"/>
              </w:rPr>
              <w:t>Przepisy te nie wymagają natomiast określenia tych kwestii w sposób „szczegółowy”.</w:t>
            </w:r>
            <w:r w:rsidRPr="008325B3">
              <w:rPr>
                <w:rFonts w:cs="Times New Roman"/>
                <w:sz w:val="20"/>
                <w:szCs w:val="20"/>
              </w:rPr>
              <w:t xml:space="preserve"> Upoważnienie do wydania proj. rozporządzenia obliguje do określenia </w:t>
            </w:r>
            <w:r w:rsidRPr="008325B3">
              <w:rPr>
                <w:rFonts w:cs="Times New Roman"/>
                <w:i/>
                <w:iCs/>
                <w:sz w:val="20"/>
                <w:szCs w:val="20"/>
                <w:u w:val="single"/>
              </w:rPr>
              <w:t>„szczegółowego trybu i sposobu doręczania pism sądowych za pośrednictwem portalu informacyjnego”.</w:t>
            </w:r>
            <w:r w:rsidRPr="008325B3">
              <w:rPr>
                <w:rFonts w:cs="Times New Roman"/>
                <w:sz w:val="20"/>
                <w:szCs w:val="20"/>
              </w:rPr>
              <w:t xml:space="preserve"> Poziom szczegółowości jego rozwiązań powinien być zatem zbliżony raczej do aktu wykonawczego wydanego na podstawie art. 131 § 2 k.p.c., który reguluje </w:t>
            </w:r>
            <w:r w:rsidRPr="008325B3">
              <w:rPr>
                <w:rFonts w:cs="Times New Roman"/>
                <w:sz w:val="20"/>
                <w:szCs w:val="20"/>
                <w:u w:val="single"/>
              </w:rPr>
              <w:t>szczegółowy</w:t>
            </w:r>
            <w:r w:rsidRPr="008325B3">
              <w:rPr>
                <w:rFonts w:cs="Times New Roman"/>
                <w:sz w:val="20"/>
                <w:szCs w:val="20"/>
              </w:rPr>
              <w:t xml:space="preserve"> tryb i sposób doręczania pism sądowych przez operatora pocztowego, osoby zatrudnione w sądzie lub sądową służbę doręczeniową. Proj. powinien zostać zweryfikowany pod tym kątem i uszczegółowiony. Wymaga to odpowiedniej zmiany treści § 1, dostosowanej do treści przepisu upoważniającego. </w:t>
            </w:r>
          </w:p>
          <w:p w14:paraId="7E0D4053" w14:textId="423C8225" w:rsidR="00F0600D" w:rsidRPr="008325B3" w:rsidRDefault="00F0600D" w:rsidP="004C27B4">
            <w:pPr>
              <w:jc w:val="both"/>
              <w:rPr>
                <w:rFonts w:cs="Times New Roman"/>
                <w:sz w:val="20"/>
                <w:szCs w:val="20"/>
              </w:rPr>
            </w:pPr>
          </w:p>
        </w:tc>
        <w:tc>
          <w:tcPr>
            <w:tcW w:w="4816" w:type="dxa"/>
          </w:tcPr>
          <w:p w14:paraId="25F3A880" w14:textId="77777777" w:rsidR="001D0380" w:rsidRPr="008325B3" w:rsidRDefault="001D0380" w:rsidP="00B62148">
            <w:pPr>
              <w:jc w:val="both"/>
              <w:rPr>
                <w:rFonts w:cs="Times New Roman"/>
                <w:b/>
                <w:bCs/>
                <w:sz w:val="20"/>
                <w:szCs w:val="20"/>
              </w:rPr>
            </w:pPr>
            <w:r w:rsidRPr="008325B3">
              <w:rPr>
                <w:rFonts w:cs="Times New Roman"/>
                <w:b/>
                <w:bCs/>
                <w:sz w:val="20"/>
                <w:szCs w:val="20"/>
              </w:rPr>
              <w:t>Uwaga częściowo uwzględniona.</w:t>
            </w:r>
            <w:r w:rsidR="00731264" w:rsidRPr="008325B3">
              <w:rPr>
                <w:rFonts w:cs="Times New Roman"/>
                <w:b/>
                <w:bCs/>
                <w:sz w:val="20"/>
                <w:szCs w:val="20"/>
              </w:rPr>
              <w:t xml:space="preserve"> </w:t>
            </w:r>
          </w:p>
          <w:p w14:paraId="0903C69A" w14:textId="11ED8D58" w:rsidR="004A1BC6" w:rsidRPr="008325B3" w:rsidRDefault="004A1BC6" w:rsidP="004A1BC6">
            <w:pPr>
              <w:jc w:val="both"/>
              <w:rPr>
                <w:rFonts w:cs="Times New Roman"/>
                <w:sz w:val="20"/>
                <w:szCs w:val="20"/>
              </w:rPr>
            </w:pPr>
            <w:r w:rsidRPr="008325B3">
              <w:rPr>
                <w:rFonts w:cs="Times New Roman"/>
                <w:sz w:val="20"/>
                <w:szCs w:val="20"/>
              </w:rPr>
              <w:t xml:space="preserve">W ocenie projektodawcy, regulacja § 3 ust. 1 projektu jest wystarczająco szczegółowa. Próby doszczegółowienia sprowadzałby się </w:t>
            </w:r>
            <w:r w:rsidRPr="008325B3">
              <w:rPr>
                <w:rFonts w:cs="Times New Roman"/>
                <w:i/>
                <w:iCs/>
                <w:sz w:val="20"/>
                <w:szCs w:val="20"/>
              </w:rPr>
              <w:t>de facto</w:t>
            </w:r>
            <w:r w:rsidRPr="008325B3">
              <w:rPr>
                <w:rFonts w:cs="Times New Roman"/>
                <w:sz w:val="20"/>
                <w:szCs w:val="20"/>
              </w:rPr>
              <w:t xml:space="preserve"> do przeniesienia regulacji obecnie zawartych w </w:t>
            </w:r>
            <w:r w:rsidRPr="008325B3">
              <w:rPr>
                <w:rFonts w:cs="Times New Roman"/>
                <w:i/>
                <w:iCs/>
                <w:sz w:val="20"/>
                <w:szCs w:val="20"/>
              </w:rPr>
              <w:t>Instrukcji</w:t>
            </w:r>
            <w:r w:rsidR="00FC4CE6" w:rsidRPr="008325B3">
              <w:rPr>
                <w:rFonts w:cs="Times New Roman"/>
                <w:i/>
                <w:iCs/>
                <w:sz w:val="20"/>
                <w:szCs w:val="20"/>
              </w:rPr>
              <w:t xml:space="preserve">  do Portalu Informacyjnego</w:t>
            </w:r>
            <w:r w:rsidRPr="008325B3">
              <w:rPr>
                <w:rFonts w:cs="Times New Roman"/>
                <w:sz w:val="20"/>
                <w:szCs w:val="20"/>
              </w:rPr>
              <w:t xml:space="preserve"> do rozporządzenia. Nie znajduje to jednak uzasadnienia. </w:t>
            </w:r>
          </w:p>
          <w:p w14:paraId="7678921B" w14:textId="58532BF3" w:rsidR="00731264" w:rsidRPr="008325B3" w:rsidRDefault="003C2180" w:rsidP="00B62148">
            <w:pPr>
              <w:jc w:val="both"/>
              <w:rPr>
                <w:rFonts w:cs="Times New Roman"/>
                <w:sz w:val="20"/>
                <w:szCs w:val="20"/>
              </w:rPr>
            </w:pPr>
            <w:r w:rsidRPr="008325B3">
              <w:rPr>
                <w:rFonts w:cs="Times New Roman"/>
                <w:sz w:val="20"/>
                <w:szCs w:val="20"/>
              </w:rPr>
              <w:t xml:space="preserve">Odnośnie do stopnia szczegółowości </w:t>
            </w:r>
            <w:r w:rsidR="00991D93" w:rsidRPr="008325B3">
              <w:rPr>
                <w:rFonts w:cs="Times New Roman"/>
                <w:sz w:val="20"/>
                <w:szCs w:val="20"/>
              </w:rPr>
              <w:t xml:space="preserve">określenia trybu i sposobu doręczania pism sądowych za pośrednictwem portalu informacyjnego </w:t>
            </w:r>
            <w:r w:rsidRPr="008325B3">
              <w:rPr>
                <w:rFonts w:cs="Times New Roman"/>
                <w:sz w:val="20"/>
                <w:szCs w:val="20"/>
              </w:rPr>
              <w:t xml:space="preserve">nie można czynić prostego przełożenia </w:t>
            </w:r>
            <w:r w:rsidR="00991D93" w:rsidRPr="008325B3">
              <w:rPr>
                <w:rFonts w:cs="Times New Roman"/>
                <w:sz w:val="20"/>
                <w:szCs w:val="20"/>
              </w:rPr>
              <w:t>w tym względzie z rozporządzenia wydanego na podstawie art. 131 § 2 k.p.c.</w:t>
            </w:r>
            <w:r w:rsidR="00E76DC0" w:rsidRPr="008325B3">
              <w:rPr>
                <w:rFonts w:cs="Times New Roman"/>
                <w:sz w:val="20"/>
                <w:szCs w:val="20"/>
              </w:rPr>
              <w:t xml:space="preserve"> i wskazywać, że poziom szczegółowości  powinien być zbliżony do aktu wykonawczego wydanego na tej podstawie, z uwagi na odmienność specyfiki obu rodzajów doręczeń. </w:t>
            </w:r>
          </w:p>
        </w:tc>
      </w:tr>
      <w:tr w:rsidR="003B2DB8" w:rsidRPr="008325B3" w14:paraId="1AB68981" w14:textId="77777777" w:rsidTr="00F0600D">
        <w:trPr>
          <w:trHeight w:val="1098"/>
        </w:trPr>
        <w:tc>
          <w:tcPr>
            <w:tcW w:w="834" w:type="dxa"/>
          </w:tcPr>
          <w:p w14:paraId="53814D25" w14:textId="615557D1" w:rsidR="003B2DB8" w:rsidRPr="008325B3" w:rsidRDefault="004832D9" w:rsidP="00E36D10">
            <w:pPr>
              <w:tabs>
                <w:tab w:val="left" w:pos="360"/>
              </w:tabs>
              <w:jc w:val="center"/>
              <w:rPr>
                <w:rFonts w:cs="Times New Roman"/>
                <w:sz w:val="20"/>
                <w:szCs w:val="20"/>
              </w:rPr>
            </w:pPr>
            <w:r w:rsidRPr="008325B3">
              <w:rPr>
                <w:rFonts w:cs="Times New Roman"/>
                <w:sz w:val="20"/>
                <w:szCs w:val="20"/>
              </w:rPr>
              <w:t>2</w:t>
            </w:r>
          </w:p>
        </w:tc>
        <w:tc>
          <w:tcPr>
            <w:tcW w:w="1566" w:type="dxa"/>
          </w:tcPr>
          <w:p w14:paraId="22796F24" w14:textId="6C99C837" w:rsidR="003B2DB8" w:rsidRPr="008325B3" w:rsidRDefault="003B2DB8" w:rsidP="00E36D10">
            <w:pPr>
              <w:jc w:val="center"/>
              <w:rPr>
                <w:rFonts w:cs="Times New Roman"/>
                <w:b/>
                <w:bCs/>
                <w:sz w:val="20"/>
                <w:szCs w:val="20"/>
              </w:rPr>
            </w:pPr>
            <w:r w:rsidRPr="008325B3">
              <w:rPr>
                <w:rFonts w:cs="Times New Roman"/>
                <w:b/>
                <w:bCs/>
                <w:sz w:val="20"/>
                <w:szCs w:val="20"/>
              </w:rPr>
              <w:t>§ 2 pkt 4 projektu</w:t>
            </w:r>
          </w:p>
        </w:tc>
        <w:tc>
          <w:tcPr>
            <w:tcW w:w="2131" w:type="dxa"/>
          </w:tcPr>
          <w:p w14:paraId="07866412" w14:textId="47DD6607" w:rsidR="003B2DB8" w:rsidRPr="008325B3" w:rsidRDefault="003B2DB8" w:rsidP="00E36D10">
            <w:pPr>
              <w:jc w:val="center"/>
              <w:rPr>
                <w:rFonts w:cs="Times New Roman"/>
                <w:b/>
                <w:bCs/>
                <w:sz w:val="20"/>
                <w:szCs w:val="20"/>
              </w:rPr>
            </w:pPr>
            <w:r w:rsidRPr="008325B3">
              <w:rPr>
                <w:rFonts w:cs="Times New Roman"/>
                <w:b/>
                <w:bCs/>
                <w:sz w:val="20"/>
                <w:szCs w:val="20"/>
              </w:rPr>
              <w:t>Prokurator Krajowy</w:t>
            </w:r>
          </w:p>
          <w:p w14:paraId="27A984BB" w14:textId="77777777" w:rsidR="003B2DB8" w:rsidRPr="008325B3" w:rsidRDefault="003B2DB8" w:rsidP="00E36D10">
            <w:pPr>
              <w:jc w:val="center"/>
              <w:rPr>
                <w:rFonts w:cs="Times New Roman"/>
                <w:b/>
                <w:bCs/>
                <w:sz w:val="20"/>
                <w:szCs w:val="20"/>
              </w:rPr>
            </w:pPr>
          </w:p>
        </w:tc>
        <w:tc>
          <w:tcPr>
            <w:tcW w:w="4962" w:type="dxa"/>
          </w:tcPr>
          <w:p w14:paraId="4BDB070A" w14:textId="77627FD8" w:rsidR="003B2DB8" w:rsidRPr="008325B3" w:rsidRDefault="003B2DB8" w:rsidP="003B2DB8">
            <w:pPr>
              <w:jc w:val="both"/>
              <w:rPr>
                <w:rFonts w:cs="Times New Roman"/>
                <w:sz w:val="20"/>
                <w:szCs w:val="20"/>
              </w:rPr>
            </w:pPr>
            <w:r w:rsidRPr="008325B3">
              <w:rPr>
                <w:rFonts w:cs="Times New Roman"/>
                <w:sz w:val="20"/>
                <w:szCs w:val="20"/>
              </w:rPr>
              <w:t xml:space="preserve">Wątpliwości budzi definicja </w:t>
            </w:r>
            <w:r w:rsidRPr="008325B3">
              <w:rPr>
                <w:rFonts w:cs="Times New Roman"/>
                <w:i/>
                <w:iCs/>
                <w:sz w:val="20"/>
                <w:szCs w:val="20"/>
              </w:rPr>
              <w:t>„odbioru pisma”.</w:t>
            </w:r>
            <w:r w:rsidRPr="008325B3">
              <w:rPr>
                <w:rFonts w:cs="Times New Roman"/>
                <w:sz w:val="20"/>
                <w:szCs w:val="20"/>
              </w:rPr>
              <w:t xml:space="preserve"> Nie jest jasne, czy sytuacja, gdy zapoznanie się z treścią pisma nie było możliwe z przyczyn związanych bezpośrednio z funkcjonowanie, tego systemu, winna być traktowana jako jego nieodebranie, a w konsekwencji skutkować uznaniem za doręczone</w:t>
            </w:r>
            <w:r w:rsidR="00212269" w:rsidRPr="008325B3">
              <w:rPr>
                <w:rFonts w:cs="Times New Roman"/>
                <w:sz w:val="20"/>
                <w:szCs w:val="20"/>
              </w:rPr>
              <w:t>.</w:t>
            </w:r>
          </w:p>
          <w:p w14:paraId="2CA9DC62" w14:textId="77777777" w:rsidR="003B2DB8" w:rsidRPr="008325B3" w:rsidRDefault="003B2DB8" w:rsidP="003B2DB8">
            <w:pPr>
              <w:jc w:val="both"/>
              <w:rPr>
                <w:rFonts w:cs="Times New Roman"/>
                <w:sz w:val="20"/>
                <w:szCs w:val="20"/>
              </w:rPr>
            </w:pPr>
            <w:r w:rsidRPr="008325B3">
              <w:rPr>
                <w:rFonts w:cs="Times New Roman"/>
                <w:sz w:val="20"/>
                <w:szCs w:val="20"/>
              </w:rPr>
              <w:t xml:space="preserve">Stąd też postulowane jest, aby wskazany zapis zastąpić przepisem odnoszącym się wprost do sytuacji braku możliwości odbioru pisma za pośrednictwem PI </w:t>
            </w:r>
            <w:r w:rsidRPr="008325B3">
              <w:rPr>
                <w:rFonts w:cs="Times New Roman"/>
                <w:sz w:val="20"/>
                <w:szCs w:val="20"/>
              </w:rPr>
              <w:lastRenderedPageBreak/>
              <w:t xml:space="preserve">spowodowanej awariami tego portalu, określając jednoznacznie sposób, w jaki pismo w takiej sytuacji zostanie doręczone. Dodatkowo w obecnym brzmieniu tej definicji, nie jest jasne czy użyte przez proj. poj. </w:t>
            </w:r>
            <w:r w:rsidRPr="008325B3">
              <w:rPr>
                <w:rFonts w:cs="Times New Roman"/>
                <w:i/>
                <w:iCs/>
                <w:sz w:val="20"/>
                <w:szCs w:val="20"/>
              </w:rPr>
              <w:t>„systemu”</w:t>
            </w:r>
            <w:r w:rsidRPr="008325B3">
              <w:rPr>
                <w:rFonts w:cs="Times New Roman"/>
                <w:sz w:val="20"/>
                <w:szCs w:val="20"/>
              </w:rPr>
              <w:t xml:space="preserve"> dot. </w:t>
            </w:r>
            <w:r w:rsidRPr="008325B3">
              <w:rPr>
                <w:rFonts w:cs="Times New Roman"/>
                <w:i/>
                <w:iCs/>
                <w:sz w:val="20"/>
                <w:szCs w:val="20"/>
              </w:rPr>
              <w:t>„PI”.</w:t>
            </w:r>
          </w:p>
          <w:p w14:paraId="0B785599" w14:textId="1CA7C403" w:rsidR="003B2DB8" w:rsidRPr="008325B3" w:rsidRDefault="003B2DB8" w:rsidP="003B2DB8">
            <w:pPr>
              <w:jc w:val="both"/>
              <w:rPr>
                <w:rFonts w:cs="Times New Roman"/>
                <w:sz w:val="20"/>
                <w:szCs w:val="20"/>
              </w:rPr>
            </w:pPr>
            <w:r w:rsidRPr="008325B3">
              <w:rPr>
                <w:rFonts w:cs="Times New Roman"/>
                <w:sz w:val="20"/>
                <w:szCs w:val="20"/>
              </w:rPr>
              <w:t xml:space="preserve">Z tych względów w proj. rozporządzeniu powinny znaleźć się zapisy regulujące </w:t>
            </w:r>
            <w:r w:rsidRPr="008325B3">
              <w:rPr>
                <w:rFonts w:cs="Times New Roman"/>
                <w:sz w:val="20"/>
                <w:szCs w:val="20"/>
                <w:u w:val="single"/>
              </w:rPr>
              <w:t>kwestie reklamacyjne</w:t>
            </w:r>
            <w:r w:rsidRPr="008325B3">
              <w:rPr>
                <w:rFonts w:cs="Times New Roman"/>
                <w:sz w:val="20"/>
                <w:szCs w:val="20"/>
              </w:rPr>
              <w:t xml:space="preserve"> w przypadku, gdy odbiorca zamieszczonej w PI treści pisma skierowanego do niego przez sąd, nie będzie miał możliwości zapoznania się z pismem (plik nie będzie się właściwie otwierał, nie będzie zawierał pełnej treści przesłanego pisma – co zawsze może się wydarzyć z przyczyn technicznych lub prostego błędu urzędnika sądowego), a PI mimo to wygeneruje potwierdzenie odbioru korespondencji, od którego rozpoczną bieg terminy procesowe.</w:t>
            </w:r>
          </w:p>
          <w:p w14:paraId="2D55CCCE" w14:textId="77777777" w:rsidR="003B2DB8" w:rsidRPr="008325B3" w:rsidRDefault="003B2DB8" w:rsidP="004C27B4">
            <w:pPr>
              <w:jc w:val="both"/>
              <w:rPr>
                <w:rFonts w:cs="Times New Roman"/>
                <w:sz w:val="20"/>
                <w:szCs w:val="20"/>
              </w:rPr>
            </w:pPr>
          </w:p>
        </w:tc>
        <w:tc>
          <w:tcPr>
            <w:tcW w:w="4816" w:type="dxa"/>
          </w:tcPr>
          <w:p w14:paraId="1676EE07" w14:textId="65F5A7F6" w:rsidR="003B2DB8" w:rsidRPr="008325B3" w:rsidRDefault="004A62F9" w:rsidP="00B62148">
            <w:pPr>
              <w:jc w:val="both"/>
              <w:rPr>
                <w:rFonts w:cs="Times New Roman"/>
                <w:b/>
                <w:bCs/>
                <w:sz w:val="20"/>
                <w:szCs w:val="20"/>
              </w:rPr>
            </w:pPr>
            <w:r w:rsidRPr="008325B3">
              <w:rPr>
                <w:rFonts w:cs="Times New Roman"/>
                <w:b/>
                <w:bCs/>
                <w:sz w:val="20"/>
                <w:szCs w:val="20"/>
              </w:rPr>
              <w:lastRenderedPageBreak/>
              <w:t xml:space="preserve">Uwaga </w:t>
            </w:r>
            <w:r w:rsidR="00C81EDC" w:rsidRPr="008325B3">
              <w:rPr>
                <w:rFonts w:cs="Times New Roman"/>
                <w:b/>
                <w:bCs/>
                <w:sz w:val="20"/>
                <w:szCs w:val="20"/>
              </w:rPr>
              <w:t>nie</w:t>
            </w:r>
            <w:r w:rsidRPr="008325B3">
              <w:rPr>
                <w:rFonts w:cs="Times New Roman"/>
                <w:b/>
                <w:bCs/>
                <w:sz w:val="20"/>
                <w:szCs w:val="20"/>
              </w:rPr>
              <w:t>uwzględniona.</w:t>
            </w:r>
          </w:p>
          <w:p w14:paraId="4F9ED0A1" w14:textId="53E8B5A7" w:rsidR="00C81EDC" w:rsidRPr="008325B3" w:rsidRDefault="00C81EDC" w:rsidP="001F7C77">
            <w:pPr>
              <w:jc w:val="both"/>
              <w:rPr>
                <w:rFonts w:cs="Times New Roman"/>
                <w:sz w:val="20"/>
                <w:szCs w:val="20"/>
              </w:rPr>
            </w:pPr>
            <w:r w:rsidRPr="008325B3">
              <w:rPr>
                <w:rFonts w:cs="Times New Roman"/>
                <w:sz w:val="20"/>
                <w:szCs w:val="20"/>
              </w:rPr>
              <w:t>W sytuacji opisanej w uwadze</w:t>
            </w:r>
            <w:r w:rsidR="001F7C77" w:rsidRPr="008325B3">
              <w:rPr>
                <w:rFonts w:cs="Times New Roman"/>
                <w:sz w:val="20"/>
                <w:szCs w:val="20"/>
              </w:rPr>
              <w:t xml:space="preserve"> możliwe jest złożenie wniosku o przywrócenie terminu do dokonania czynności procesowej. W świetle obowiązujących już regulacji, analogiczna możliwość jest wykorzystywana w innych systemach (PBI KRS, EPU, eKRS, eKRZ, S-24). Stworzenie </w:t>
            </w:r>
            <w:r w:rsidR="001F7C77" w:rsidRPr="008325B3">
              <w:rPr>
                <w:rFonts w:cs="Times New Roman"/>
                <w:i/>
                <w:iCs/>
                <w:sz w:val="20"/>
                <w:szCs w:val="20"/>
              </w:rPr>
              <w:t>lex specialis</w:t>
            </w:r>
            <w:r w:rsidR="001F7C77" w:rsidRPr="008325B3">
              <w:rPr>
                <w:rFonts w:cs="Times New Roman"/>
                <w:sz w:val="20"/>
                <w:szCs w:val="20"/>
              </w:rPr>
              <w:t xml:space="preserve"> wprowadziłoby zamieszanie – pojawiłoby się bowiem pytanie, jak traktować tego rodzaju sytuacje w innych systemach. </w:t>
            </w:r>
            <w:r w:rsidRPr="008325B3">
              <w:rPr>
                <w:rFonts w:cs="Times New Roman"/>
                <w:sz w:val="20"/>
                <w:szCs w:val="20"/>
              </w:rPr>
              <w:t xml:space="preserve">Niezależnie od </w:t>
            </w:r>
            <w:r w:rsidRPr="008325B3">
              <w:rPr>
                <w:rFonts w:cs="Times New Roman"/>
                <w:sz w:val="20"/>
                <w:szCs w:val="20"/>
              </w:rPr>
              <w:lastRenderedPageBreak/>
              <w:t xml:space="preserve">powyższego wskazać należy, że dokonano zmiany definicji odbioru pisma. </w:t>
            </w:r>
          </w:p>
        </w:tc>
      </w:tr>
      <w:tr w:rsidR="003B2DB8" w:rsidRPr="008325B3" w14:paraId="375B1F51" w14:textId="77777777" w:rsidTr="00F0600D">
        <w:trPr>
          <w:trHeight w:val="1098"/>
        </w:trPr>
        <w:tc>
          <w:tcPr>
            <w:tcW w:w="834" w:type="dxa"/>
          </w:tcPr>
          <w:p w14:paraId="1C1BC798" w14:textId="2216E556" w:rsidR="003B2DB8" w:rsidRPr="008325B3" w:rsidRDefault="004832D9" w:rsidP="00E36D10">
            <w:pPr>
              <w:tabs>
                <w:tab w:val="left" w:pos="360"/>
              </w:tabs>
              <w:jc w:val="center"/>
              <w:rPr>
                <w:rFonts w:cs="Times New Roman"/>
                <w:sz w:val="20"/>
                <w:szCs w:val="20"/>
              </w:rPr>
            </w:pPr>
            <w:r w:rsidRPr="008325B3">
              <w:rPr>
                <w:rFonts w:cs="Times New Roman"/>
                <w:sz w:val="20"/>
                <w:szCs w:val="20"/>
              </w:rPr>
              <w:lastRenderedPageBreak/>
              <w:t>3</w:t>
            </w:r>
          </w:p>
        </w:tc>
        <w:tc>
          <w:tcPr>
            <w:tcW w:w="1566" w:type="dxa"/>
          </w:tcPr>
          <w:p w14:paraId="70C4D1FB" w14:textId="1A18CE87" w:rsidR="003B2DB8" w:rsidRPr="008325B3" w:rsidRDefault="004832D9" w:rsidP="00E36D10">
            <w:pPr>
              <w:jc w:val="center"/>
              <w:rPr>
                <w:rFonts w:cs="Times New Roman"/>
                <w:b/>
                <w:bCs/>
                <w:sz w:val="20"/>
                <w:szCs w:val="20"/>
              </w:rPr>
            </w:pPr>
            <w:r w:rsidRPr="008325B3">
              <w:rPr>
                <w:rFonts w:cs="Times New Roman"/>
                <w:b/>
                <w:bCs/>
                <w:sz w:val="20"/>
                <w:szCs w:val="20"/>
              </w:rPr>
              <w:t xml:space="preserve">§ 2 pkt </w:t>
            </w:r>
            <w:r w:rsidR="00340B47" w:rsidRPr="008325B3">
              <w:rPr>
                <w:rFonts w:cs="Times New Roman"/>
                <w:b/>
                <w:bCs/>
                <w:sz w:val="20"/>
                <w:szCs w:val="20"/>
              </w:rPr>
              <w:t>4</w:t>
            </w:r>
            <w:r w:rsidRPr="008325B3">
              <w:rPr>
                <w:rFonts w:cs="Times New Roman"/>
                <w:b/>
                <w:bCs/>
                <w:sz w:val="20"/>
                <w:szCs w:val="20"/>
              </w:rPr>
              <w:t xml:space="preserve"> projektu</w:t>
            </w:r>
          </w:p>
        </w:tc>
        <w:tc>
          <w:tcPr>
            <w:tcW w:w="2131" w:type="dxa"/>
          </w:tcPr>
          <w:p w14:paraId="49B87A20" w14:textId="1614445A" w:rsidR="003B2DB8" w:rsidRPr="008325B3" w:rsidRDefault="004832D9" w:rsidP="00E36D10">
            <w:pPr>
              <w:jc w:val="center"/>
              <w:rPr>
                <w:rFonts w:cs="Times New Roman"/>
                <w:b/>
                <w:bCs/>
                <w:sz w:val="20"/>
                <w:szCs w:val="20"/>
              </w:rPr>
            </w:pPr>
            <w:r w:rsidRPr="008325B3">
              <w:rPr>
                <w:rFonts w:cs="Times New Roman"/>
                <w:b/>
                <w:bCs/>
                <w:sz w:val="20"/>
                <w:szCs w:val="20"/>
              </w:rPr>
              <w:t>Prezes PGRP</w:t>
            </w:r>
          </w:p>
        </w:tc>
        <w:tc>
          <w:tcPr>
            <w:tcW w:w="4962" w:type="dxa"/>
          </w:tcPr>
          <w:p w14:paraId="3A382F79" w14:textId="77777777" w:rsidR="004832D9" w:rsidRPr="008325B3" w:rsidRDefault="004832D9" w:rsidP="004832D9">
            <w:pPr>
              <w:jc w:val="both"/>
              <w:rPr>
                <w:rFonts w:cs="Times New Roman"/>
                <w:sz w:val="20"/>
                <w:szCs w:val="20"/>
              </w:rPr>
            </w:pPr>
            <w:r w:rsidRPr="008325B3">
              <w:rPr>
                <w:rFonts w:cs="Times New Roman"/>
                <w:sz w:val="20"/>
                <w:szCs w:val="20"/>
              </w:rPr>
              <w:t xml:space="preserve">Proj. przepisy nie precyzują, jakie zdarzenie oznacza </w:t>
            </w:r>
            <w:r w:rsidRPr="008325B3">
              <w:rPr>
                <w:rFonts w:cs="Times New Roman"/>
                <w:i/>
                <w:iCs/>
                <w:sz w:val="20"/>
                <w:szCs w:val="20"/>
              </w:rPr>
              <w:t>„zapoznanie się”</w:t>
            </w:r>
            <w:r w:rsidRPr="008325B3">
              <w:rPr>
                <w:rFonts w:cs="Times New Roman"/>
                <w:sz w:val="20"/>
                <w:szCs w:val="20"/>
              </w:rPr>
              <w:t xml:space="preserve"> z pismem, a w konsekwencji nie jest jasne, jakie zdarzenie jest uznawane za jego odebranie. Definiowanie pojęcia </w:t>
            </w:r>
            <w:r w:rsidRPr="008325B3">
              <w:rPr>
                <w:rFonts w:cs="Times New Roman"/>
                <w:i/>
                <w:iCs/>
                <w:sz w:val="20"/>
                <w:szCs w:val="20"/>
              </w:rPr>
              <w:t>„odbioru pisma”</w:t>
            </w:r>
            <w:r w:rsidRPr="008325B3">
              <w:rPr>
                <w:rFonts w:cs="Times New Roman"/>
                <w:sz w:val="20"/>
                <w:szCs w:val="20"/>
              </w:rPr>
              <w:t xml:space="preserve"> za pomocą czynności oznaczającej zaznajomienie się z treścią tego pisma nie oddaje istoty czynności odbioru. Do odbioru pisma nie jest niezbędne zaznajomienie się z jego treścią, co może być uczynione następczo i w praktyce najczęściej tak jest, szczególnie w przypadku większych podmiotów, w których odbiorem pism zajmują się pracownicy kancelaryjni. Ponadto w definicji pojęcia </w:t>
            </w:r>
            <w:r w:rsidRPr="008325B3">
              <w:rPr>
                <w:rFonts w:cs="Times New Roman"/>
                <w:i/>
                <w:iCs/>
                <w:sz w:val="20"/>
                <w:szCs w:val="20"/>
              </w:rPr>
              <w:t>„odbiór pisma”</w:t>
            </w:r>
            <w:r w:rsidRPr="008325B3">
              <w:rPr>
                <w:rFonts w:cs="Times New Roman"/>
                <w:sz w:val="20"/>
                <w:szCs w:val="20"/>
              </w:rPr>
              <w:t xml:space="preserve"> odsyła się do skutku, o którym mowa w art. 131</w:t>
            </w:r>
            <w:r w:rsidRPr="008325B3">
              <w:rPr>
                <w:rFonts w:cs="Times New Roman"/>
                <w:sz w:val="20"/>
                <w:szCs w:val="20"/>
                <w:vertAlign w:val="superscript"/>
              </w:rPr>
              <w:t>1a</w:t>
            </w:r>
            <w:r w:rsidRPr="008325B3">
              <w:rPr>
                <w:rFonts w:cs="Times New Roman"/>
                <w:sz w:val="20"/>
                <w:szCs w:val="20"/>
              </w:rPr>
              <w:t xml:space="preserve"> § 1 k.p.c., podczas gdy ten przepis nie określa żadnego skutku, więc odesłanie jest niezrozumiałe.</w:t>
            </w:r>
          </w:p>
          <w:p w14:paraId="1882086E" w14:textId="77777777" w:rsidR="004832D9" w:rsidRPr="008325B3" w:rsidRDefault="004832D9" w:rsidP="004832D9">
            <w:pPr>
              <w:jc w:val="both"/>
              <w:rPr>
                <w:rFonts w:cs="Times New Roman"/>
                <w:sz w:val="20"/>
                <w:szCs w:val="20"/>
              </w:rPr>
            </w:pPr>
            <w:r w:rsidRPr="008325B3">
              <w:rPr>
                <w:rFonts w:cs="Times New Roman"/>
                <w:sz w:val="20"/>
                <w:szCs w:val="20"/>
              </w:rPr>
              <w:t xml:space="preserve">Ponadto należytej realizacji upoważnienia ustawowego w zakresie poziomu szczegółowości regulacji nie służy </w:t>
            </w:r>
            <w:r w:rsidRPr="008325B3">
              <w:rPr>
                <w:rFonts w:cs="Times New Roman"/>
                <w:sz w:val="20"/>
                <w:szCs w:val="20"/>
              </w:rPr>
              <w:lastRenderedPageBreak/>
              <w:t xml:space="preserve">używanie w projektowanych przepisach nieprecyzyjnych sformułowań typu: </w:t>
            </w:r>
            <w:r w:rsidRPr="008325B3">
              <w:rPr>
                <w:rFonts w:cs="Times New Roman"/>
                <w:i/>
                <w:iCs/>
                <w:sz w:val="20"/>
                <w:szCs w:val="20"/>
              </w:rPr>
              <w:t>„w stosownej zakładce”.</w:t>
            </w:r>
          </w:p>
          <w:p w14:paraId="453205DA" w14:textId="77777777" w:rsidR="003B2DB8" w:rsidRPr="008325B3" w:rsidRDefault="003B2DB8" w:rsidP="004C27B4">
            <w:pPr>
              <w:jc w:val="both"/>
              <w:rPr>
                <w:rFonts w:cs="Times New Roman"/>
                <w:sz w:val="20"/>
                <w:szCs w:val="20"/>
              </w:rPr>
            </w:pPr>
          </w:p>
        </w:tc>
        <w:tc>
          <w:tcPr>
            <w:tcW w:w="4816" w:type="dxa"/>
          </w:tcPr>
          <w:p w14:paraId="2B174913" w14:textId="5E380CAC" w:rsidR="003B2DB8" w:rsidRPr="008325B3" w:rsidRDefault="009403CD" w:rsidP="00B62148">
            <w:pPr>
              <w:jc w:val="both"/>
              <w:rPr>
                <w:rFonts w:cs="Times New Roman"/>
                <w:b/>
                <w:bCs/>
                <w:sz w:val="20"/>
                <w:szCs w:val="20"/>
              </w:rPr>
            </w:pPr>
            <w:r w:rsidRPr="008325B3">
              <w:rPr>
                <w:rFonts w:cs="Times New Roman"/>
                <w:b/>
                <w:bCs/>
                <w:sz w:val="20"/>
                <w:szCs w:val="20"/>
              </w:rPr>
              <w:lastRenderedPageBreak/>
              <w:t xml:space="preserve">Uwaga uwzględniona. </w:t>
            </w:r>
          </w:p>
        </w:tc>
      </w:tr>
      <w:tr w:rsidR="00F0600D" w:rsidRPr="008325B3" w14:paraId="75FF7968" w14:textId="77777777" w:rsidTr="00F0600D">
        <w:trPr>
          <w:trHeight w:val="1098"/>
        </w:trPr>
        <w:tc>
          <w:tcPr>
            <w:tcW w:w="834" w:type="dxa"/>
          </w:tcPr>
          <w:p w14:paraId="0800EE91" w14:textId="45376D12" w:rsidR="00F0600D" w:rsidRPr="008325B3" w:rsidRDefault="00974159" w:rsidP="00E36D10">
            <w:pPr>
              <w:tabs>
                <w:tab w:val="left" w:pos="360"/>
              </w:tabs>
              <w:jc w:val="center"/>
              <w:rPr>
                <w:rFonts w:cs="Times New Roman"/>
                <w:sz w:val="20"/>
                <w:szCs w:val="20"/>
              </w:rPr>
            </w:pPr>
            <w:r w:rsidRPr="008325B3">
              <w:rPr>
                <w:rFonts w:cs="Times New Roman"/>
                <w:sz w:val="20"/>
                <w:szCs w:val="20"/>
              </w:rPr>
              <w:t>4</w:t>
            </w:r>
          </w:p>
        </w:tc>
        <w:tc>
          <w:tcPr>
            <w:tcW w:w="1566" w:type="dxa"/>
          </w:tcPr>
          <w:p w14:paraId="26CCF264" w14:textId="5F0A4CDA" w:rsidR="00F0600D" w:rsidRPr="008325B3" w:rsidRDefault="00F0600D" w:rsidP="00E36D10">
            <w:pPr>
              <w:jc w:val="center"/>
              <w:rPr>
                <w:rFonts w:cs="Times New Roman"/>
                <w:b/>
                <w:bCs/>
                <w:sz w:val="20"/>
                <w:szCs w:val="20"/>
              </w:rPr>
            </w:pPr>
            <w:r w:rsidRPr="008325B3">
              <w:rPr>
                <w:rFonts w:cs="Times New Roman"/>
                <w:b/>
                <w:bCs/>
                <w:sz w:val="20"/>
                <w:szCs w:val="20"/>
              </w:rPr>
              <w:t>§ 3 ust. 1 zd. 1 i zd. 2 projektu</w:t>
            </w:r>
          </w:p>
        </w:tc>
        <w:tc>
          <w:tcPr>
            <w:tcW w:w="2131" w:type="dxa"/>
          </w:tcPr>
          <w:p w14:paraId="658011B8" w14:textId="139FEC38" w:rsidR="00F0600D" w:rsidRPr="008325B3" w:rsidRDefault="00F0600D" w:rsidP="00E36D10">
            <w:pPr>
              <w:jc w:val="center"/>
              <w:rPr>
                <w:rFonts w:cs="Times New Roman"/>
                <w:b/>
                <w:bCs/>
                <w:sz w:val="20"/>
                <w:szCs w:val="20"/>
              </w:rPr>
            </w:pPr>
            <w:r w:rsidRPr="008325B3">
              <w:rPr>
                <w:rFonts w:cs="Times New Roman"/>
                <w:b/>
                <w:bCs/>
                <w:sz w:val="20"/>
                <w:szCs w:val="20"/>
              </w:rPr>
              <w:t>Prezes P</w:t>
            </w:r>
            <w:r w:rsidR="00C33159" w:rsidRPr="008325B3">
              <w:rPr>
                <w:rFonts w:cs="Times New Roman"/>
                <w:b/>
                <w:bCs/>
                <w:sz w:val="20"/>
                <w:szCs w:val="20"/>
              </w:rPr>
              <w:t>GRP</w:t>
            </w:r>
          </w:p>
        </w:tc>
        <w:tc>
          <w:tcPr>
            <w:tcW w:w="4962" w:type="dxa"/>
          </w:tcPr>
          <w:p w14:paraId="560E6353" w14:textId="07880900" w:rsidR="00F0600D" w:rsidRPr="008325B3" w:rsidRDefault="00F0600D" w:rsidP="00C7252B">
            <w:pPr>
              <w:jc w:val="both"/>
              <w:rPr>
                <w:rFonts w:cs="Times New Roman"/>
                <w:sz w:val="20"/>
                <w:szCs w:val="20"/>
              </w:rPr>
            </w:pPr>
            <w:r w:rsidRPr="008325B3">
              <w:rPr>
                <w:rFonts w:cs="Times New Roman"/>
                <w:sz w:val="20"/>
                <w:szCs w:val="20"/>
              </w:rPr>
              <w:t xml:space="preserve">W proj. zd. 1 nie tylko posłużono się nieprecyzyjnym sformułowaniem: </w:t>
            </w:r>
            <w:r w:rsidRPr="008325B3">
              <w:rPr>
                <w:rFonts w:cs="Times New Roman"/>
                <w:i/>
                <w:iCs/>
                <w:sz w:val="20"/>
                <w:szCs w:val="20"/>
              </w:rPr>
              <w:t>„w taki sposób, aby nie budziło wątpliwości”</w:t>
            </w:r>
            <w:r w:rsidRPr="008325B3">
              <w:rPr>
                <w:rFonts w:cs="Times New Roman"/>
                <w:sz w:val="20"/>
                <w:szCs w:val="20"/>
              </w:rPr>
              <w:t xml:space="preserve">, ale ponadto w jego treści brak jest wskazania, że udostępnienie doręczanego pisma następuje </w:t>
            </w:r>
            <w:r w:rsidRPr="008325B3">
              <w:rPr>
                <w:rFonts w:cs="Times New Roman"/>
                <w:sz w:val="20"/>
                <w:szCs w:val="20"/>
                <w:u w:val="single"/>
              </w:rPr>
              <w:t>na konto użytkownika będącego adresatem pisma.</w:t>
            </w:r>
          </w:p>
          <w:p w14:paraId="39FEED9C" w14:textId="77777777" w:rsidR="00F0600D" w:rsidRPr="008325B3" w:rsidRDefault="00F0600D" w:rsidP="00F0600D">
            <w:pPr>
              <w:jc w:val="both"/>
              <w:rPr>
                <w:rFonts w:cs="Times New Roman"/>
                <w:sz w:val="20"/>
                <w:szCs w:val="20"/>
              </w:rPr>
            </w:pPr>
            <w:r w:rsidRPr="008325B3">
              <w:rPr>
                <w:rFonts w:cs="Times New Roman"/>
                <w:sz w:val="20"/>
                <w:szCs w:val="20"/>
              </w:rPr>
              <w:t>Proj. zd. 2 ma natomiast niejasny charakter – poza tym, że niewątpliwie stanowi o obowiązku po stronie sądu, aby z momentem umieszczenia pisma w PI powiadomił o tym fakcie użytkownika konta na wskazany przez niego adres poczty elektronicznej, to nie jest jasne, jakie mają być skutki niedopełnienia przez sąd tego obowiązku.</w:t>
            </w:r>
          </w:p>
          <w:p w14:paraId="7D34AEE2" w14:textId="1B23A806" w:rsidR="003E545A" w:rsidRPr="008325B3" w:rsidRDefault="003E545A" w:rsidP="00F0600D">
            <w:pPr>
              <w:jc w:val="both"/>
              <w:rPr>
                <w:rFonts w:cs="Times New Roman"/>
                <w:sz w:val="20"/>
                <w:szCs w:val="20"/>
              </w:rPr>
            </w:pPr>
          </w:p>
        </w:tc>
        <w:tc>
          <w:tcPr>
            <w:tcW w:w="4816" w:type="dxa"/>
          </w:tcPr>
          <w:p w14:paraId="6F541F00" w14:textId="633FFB23" w:rsidR="00F0600D" w:rsidRPr="008325B3" w:rsidRDefault="00A4440A" w:rsidP="00B62148">
            <w:pPr>
              <w:jc w:val="both"/>
              <w:rPr>
                <w:rFonts w:cs="Times New Roman"/>
                <w:b/>
                <w:bCs/>
                <w:sz w:val="20"/>
                <w:szCs w:val="20"/>
              </w:rPr>
            </w:pPr>
            <w:r w:rsidRPr="008325B3">
              <w:rPr>
                <w:rFonts w:cs="Times New Roman"/>
                <w:b/>
                <w:bCs/>
                <w:sz w:val="20"/>
                <w:szCs w:val="20"/>
              </w:rPr>
              <w:t xml:space="preserve">Uwaga </w:t>
            </w:r>
            <w:r w:rsidR="009403CD" w:rsidRPr="008325B3">
              <w:rPr>
                <w:rFonts w:cs="Times New Roman"/>
                <w:b/>
                <w:bCs/>
                <w:sz w:val="20"/>
                <w:szCs w:val="20"/>
              </w:rPr>
              <w:t xml:space="preserve">częściowo </w:t>
            </w:r>
            <w:r w:rsidRPr="008325B3">
              <w:rPr>
                <w:rFonts w:cs="Times New Roman"/>
                <w:b/>
                <w:bCs/>
                <w:sz w:val="20"/>
                <w:szCs w:val="20"/>
              </w:rPr>
              <w:t>uwzględniona.</w:t>
            </w:r>
          </w:p>
          <w:p w14:paraId="20B9DFF9" w14:textId="7B544E30" w:rsidR="00F77225" w:rsidRPr="008325B3" w:rsidRDefault="00F77225" w:rsidP="00B62148">
            <w:pPr>
              <w:jc w:val="both"/>
              <w:rPr>
                <w:rFonts w:cs="Times New Roman"/>
                <w:b/>
                <w:bCs/>
                <w:sz w:val="20"/>
                <w:szCs w:val="20"/>
              </w:rPr>
            </w:pPr>
            <w:r w:rsidRPr="008325B3">
              <w:rPr>
                <w:rFonts w:cs="Times New Roman"/>
                <w:sz w:val="20"/>
                <w:szCs w:val="20"/>
              </w:rPr>
              <w:t xml:space="preserve">Przepis uległ zmianie, m. in. przez rezygnację ze sformułowania: </w:t>
            </w:r>
            <w:r w:rsidRPr="008325B3">
              <w:rPr>
                <w:rFonts w:cs="Times New Roman"/>
                <w:i/>
                <w:iCs/>
                <w:sz w:val="20"/>
                <w:szCs w:val="20"/>
              </w:rPr>
              <w:t>„w taki sposób, aby nie budziło wątpliwości”</w:t>
            </w:r>
            <w:r w:rsidRPr="008325B3">
              <w:rPr>
                <w:rFonts w:cs="Times New Roman"/>
                <w:sz w:val="20"/>
                <w:szCs w:val="20"/>
              </w:rPr>
              <w:t xml:space="preserve">, jak też poprzez rezygnację zdania drugiego w ust. 1 § 3. Natomiast </w:t>
            </w:r>
            <w:r w:rsidR="00CD4FE5" w:rsidRPr="008325B3">
              <w:rPr>
                <w:rFonts w:cs="Times New Roman"/>
                <w:sz w:val="20"/>
                <w:szCs w:val="20"/>
              </w:rPr>
              <w:t xml:space="preserve">wobec definicji odbioru pisma </w:t>
            </w:r>
            <w:r w:rsidRPr="008325B3">
              <w:rPr>
                <w:rFonts w:cs="Times New Roman"/>
                <w:sz w:val="20"/>
                <w:szCs w:val="20"/>
              </w:rPr>
              <w:t xml:space="preserve">zbędne jest </w:t>
            </w:r>
            <w:r w:rsidR="009D5D47" w:rsidRPr="008325B3">
              <w:rPr>
                <w:rFonts w:cs="Times New Roman"/>
                <w:sz w:val="20"/>
                <w:szCs w:val="20"/>
              </w:rPr>
              <w:t xml:space="preserve">wskazywanie, że </w:t>
            </w:r>
            <w:r w:rsidR="009D5D47" w:rsidRPr="008325B3">
              <w:t xml:space="preserve"> </w:t>
            </w:r>
            <w:r w:rsidR="009D5D47" w:rsidRPr="008325B3">
              <w:rPr>
                <w:rFonts w:cs="Times New Roman"/>
                <w:sz w:val="20"/>
                <w:szCs w:val="20"/>
              </w:rPr>
              <w:t xml:space="preserve">udostępnienie doręczanego pisma następuje na konto użytkownika będącego adresatem pisma. Okoliczność tę można wywnioskować z brzmienia definicji odbioru pisma (§ 2 pkt 3 projektowanego rozporządzenia). </w:t>
            </w:r>
          </w:p>
          <w:p w14:paraId="69261BA5" w14:textId="6A0AD7E0" w:rsidR="009403CD" w:rsidRPr="008325B3" w:rsidRDefault="009403CD" w:rsidP="009D5D47">
            <w:pPr>
              <w:pStyle w:val="pf0"/>
              <w:rPr>
                <w:sz w:val="20"/>
                <w:szCs w:val="20"/>
              </w:rPr>
            </w:pPr>
          </w:p>
        </w:tc>
      </w:tr>
      <w:tr w:rsidR="00F0600D" w:rsidRPr="008325B3" w14:paraId="07E09BC9" w14:textId="77777777" w:rsidTr="00F0600D">
        <w:trPr>
          <w:trHeight w:val="1098"/>
        </w:trPr>
        <w:tc>
          <w:tcPr>
            <w:tcW w:w="834" w:type="dxa"/>
          </w:tcPr>
          <w:p w14:paraId="22EDC9A5" w14:textId="530B887E" w:rsidR="00F0600D" w:rsidRPr="008325B3" w:rsidRDefault="00974159" w:rsidP="00E36D10">
            <w:pPr>
              <w:tabs>
                <w:tab w:val="left" w:pos="360"/>
              </w:tabs>
              <w:jc w:val="center"/>
              <w:rPr>
                <w:rFonts w:cs="Times New Roman"/>
                <w:sz w:val="20"/>
                <w:szCs w:val="20"/>
              </w:rPr>
            </w:pPr>
            <w:r w:rsidRPr="008325B3">
              <w:rPr>
                <w:rFonts w:cs="Times New Roman"/>
                <w:sz w:val="20"/>
                <w:szCs w:val="20"/>
              </w:rPr>
              <w:t>5</w:t>
            </w:r>
          </w:p>
        </w:tc>
        <w:tc>
          <w:tcPr>
            <w:tcW w:w="1566" w:type="dxa"/>
          </w:tcPr>
          <w:p w14:paraId="175D927D" w14:textId="57FC22C6" w:rsidR="00F0600D" w:rsidRPr="008325B3" w:rsidRDefault="00F0600D" w:rsidP="00E36D10">
            <w:pPr>
              <w:jc w:val="center"/>
              <w:rPr>
                <w:rFonts w:cs="Times New Roman"/>
                <w:b/>
                <w:bCs/>
                <w:sz w:val="20"/>
                <w:szCs w:val="20"/>
              </w:rPr>
            </w:pPr>
            <w:r w:rsidRPr="008325B3">
              <w:rPr>
                <w:rFonts w:cs="Times New Roman"/>
                <w:b/>
                <w:bCs/>
                <w:sz w:val="20"/>
                <w:szCs w:val="20"/>
              </w:rPr>
              <w:t>§ 3 ust. 1 zd. 2 projektu</w:t>
            </w:r>
          </w:p>
        </w:tc>
        <w:tc>
          <w:tcPr>
            <w:tcW w:w="2131" w:type="dxa"/>
          </w:tcPr>
          <w:p w14:paraId="7E3A6B16" w14:textId="0F16668F" w:rsidR="00F0600D" w:rsidRPr="008325B3" w:rsidRDefault="00F0600D" w:rsidP="00E36D10">
            <w:pPr>
              <w:jc w:val="center"/>
              <w:rPr>
                <w:rFonts w:cs="Times New Roman"/>
                <w:sz w:val="20"/>
                <w:szCs w:val="20"/>
              </w:rPr>
            </w:pPr>
            <w:r w:rsidRPr="008325B3">
              <w:rPr>
                <w:rFonts w:cs="Times New Roman"/>
                <w:b/>
                <w:bCs/>
                <w:sz w:val="20"/>
                <w:szCs w:val="20"/>
              </w:rPr>
              <w:t>Sędzia SA we Wrocławiu z up. Prezesa SA we Wrocławiu</w:t>
            </w:r>
            <w:r w:rsidRPr="008325B3">
              <w:rPr>
                <w:rFonts w:cs="Times New Roman"/>
                <w:sz w:val="20"/>
                <w:szCs w:val="20"/>
              </w:rPr>
              <w:t xml:space="preserve"> – Odział  Informatyczny SA we Wrocławiu</w:t>
            </w:r>
          </w:p>
        </w:tc>
        <w:tc>
          <w:tcPr>
            <w:tcW w:w="4962" w:type="dxa"/>
          </w:tcPr>
          <w:p w14:paraId="55ACB941" w14:textId="5274E159" w:rsidR="00F0600D" w:rsidRPr="008325B3" w:rsidRDefault="00F0600D" w:rsidP="00A56BD8">
            <w:pPr>
              <w:autoSpaceDE w:val="0"/>
              <w:autoSpaceDN w:val="0"/>
              <w:adjustRightInd w:val="0"/>
              <w:jc w:val="both"/>
              <w:rPr>
                <w:rFonts w:cs="Times New Roman"/>
                <w:sz w:val="20"/>
                <w:szCs w:val="20"/>
              </w:rPr>
            </w:pPr>
            <w:r w:rsidRPr="008325B3">
              <w:rPr>
                <w:rFonts w:cs="Times New Roman"/>
                <w:sz w:val="20"/>
                <w:szCs w:val="20"/>
              </w:rPr>
              <w:t xml:space="preserve">Usługa wysyłania wiadomości elektronicznych jest jedynie dodatkową funkcjonalności techniczną, jej działanie zależne jest od dostawcy usługi poczty elektronicznej użytkowania (np. wiadomość może zostać zablokowana przez filtr antyspamowy lub nie zostać doręczona z uwagi na przepełnioną skrzynkę). DIRS MS nie może zagwarantować poprawności działania tej usługi. Pozostawienie tak sformułowanego przepisu rozporządzenia może rodzic wątpliwości, co do prawdziwości doręczenia w sytuacji, gdy z przyczyn technicznych wiadomość elektroniczna nie zostanie wysłana, zostanie wysłana, ale z przyczyn technicznych nie zostanie doręczona na adres poczty elektronicznej adresata, zostanie wysłana w innym terminie niż doręczenie w Module doręczeń. </w:t>
            </w:r>
          </w:p>
          <w:p w14:paraId="029D9F9B" w14:textId="6338614E" w:rsidR="00F0600D" w:rsidRPr="008325B3" w:rsidRDefault="00F0600D" w:rsidP="00A56BD8">
            <w:pPr>
              <w:autoSpaceDE w:val="0"/>
              <w:autoSpaceDN w:val="0"/>
              <w:adjustRightInd w:val="0"/>
              <w:jc w:val="both"/>
              <w:rPr>
                <w:rFonts w:cs="Times New Roman"/>
                <w:sz w:val="20"/>
                <w:szCs w:val="20"/>
              </w:rPr>
            </w:pPr>
            <w:r w:rsidRPr="008325B3">
              <w:rPr>
                <w:rFonts w:cs="Times New Roman"/>
                <w:sz w:val="20"/>
                <w:szCs w:val="20"/>
              </w:rPr>
              <w:t xml:space="preserve">Rekomendowane jest zatem usuniecie zdania </w:t>
            </w:r>
            <w:r w:rsidRPr="008325B3">
              <w:rPr>
                <w:rFonts w:cs="Times New Roman"/>
                <w:i/>
                <w:iCs/>
                <w:sz w:val="20"/>
                <w:szCs w:val="20"/>
              </w:rPr>
              <w:t xml:space="preserve">„z momentem umieszczenia pisma powiadamia się o tym fakcie </w:t>
            </w:r>
            <w:r w:rsidRPr="008325B3">
              <w:rPr>
                <w:rFonts w:cs="Times New Roman"/>
                <w:i/>
                <w:iCs/>
                <w:sz w:val="20"/>
                <w:szCs w:val="20"/>
              </w:rPr>
              <w:lastRenderedPageBreak/>
              <w:t>użytkownika na adres poczty elektronicznej wskazany przez niego w PI”.</w:t>
            </w:r>
            <w:r w:rsidRPr="008325B3">
              <w:rPr>
                <w:rFonts w:cs="Times New Roman"/>
                <w:sz w:val="20"/>
                <w:szCs w:val="20"/>
              </w:rPr>
              <w:t xml:space="preserve"> </w:t>
            </w:r>
          </w:p>
          <w:p w14:paraId="222B268D" w14:textId="77777777" w:rsidR="00F0600D" w:rsidRPr="008325B3" w:rsidRDefault="00F0600D" w:rsidP="00192503">
            <w:pPr>
              <w:autoSpaceDE w:val="0"/>
              <w:autoSpaceDN w:val="0"/>
              <w:adjustRightInd w:val="0"/>
              <w:jc w:val="both"/>
              <w:rPr>
                <w:rFonts w:cs="Times New Roman"/>
                <w:sz w:val="20"/>
                <w:szCs w:val="20"/>
              </w:rPr>
            </w:pPr>
          </w:p>
        </w:tc>
        <w:tc>
          <w:tcPr>
            <w:tcW w:w="4816" w:type="dxa"/>
          </w:tcPr>
          <w:p w14:paraId="6C72B6ED" w14:textId="64AE7A8F" w:rsidR="00A4440A" w:rsidRPr="008325B3" w:rsidRDefault="00411C4F" w:rsidP="00D66757">
            <w:pPr>
              <w:pStyle w:val="Bezodstpw"/>
              <w:rPr>
                <w:b/>
                <w:bCs/>
              </w:rPr>
            </w:pPr>
            <w:r w:rsidRPr="008325B3">
              <w:rPr>
                <w:b/>
                <w:bCs/>
                <w:sz w:val="20"/>
                <w:szCs w:val="20"/>
              </w:rPr>
              <w:lastRenderedPageBreak/>
              <w:t xml:space="preserve">Uwaga uwzględniona. </w:t>
            </w:r>
          </w:p>
        </w:tc>
      </w:tr>
      <w:tr w:rsidR="00EE2820" w:rsidRPr="008325B3" w14:paraId="29C61B2A" w14:textId="77777777" w:rsidTr="00F0600D">
        <w:trPr>
          <w:trHeight w:val="1098"/>
        </w:trPr>
        <w:tc>
          <w:tcPr>
            <w:tcW w:w="834" w:type="dxa"/>
          </w:tcPr>
          <w:p w14:paraId="68BFD1AD" w14:textId="5956618E" w:rsidR="00EE2820" w:rsidRPr="008325B3" w:rsidRDefault="00974159" w:rsidP="00E36D10">
            <w:pPr>
              <w:tabs>
                <w:tab w:val="left" w:pos="360"/>
              </w:tabs>
              <w:jc w:val="center"/>
              <w:rPr>
                <w:rFonts w:cs="Times New Roman"/>
                <w:sz w:val="20"/>
                <w:szCs w:val="20"/>
              </w:rPr>
            </w:pPr>
            <w:r w:rsidRPr="008325B3">
              <w:rPr>
                <w:rFonts w:cs="Times New Roman"/>
                <w:sz w:val="20"/>
                <w:szCs w:val="20"/>
              </w:rPr>
              <w:t>6</w:t>
            </w:r>
          </w:p>
        </w:tc>
        <w:tc>
          <w:tcPr>
            <w:tcW w:w="1566" w:type="dxa"/>
          </w:tcPr>
          <w:p w14:paraId="21DBBFD4" w14:textId="7554A862" w:rsidR="00EE2820" w:rsidRPr="008325B3" w:rsidRDefault="00EE2820" w:rsidP="00E36D10">
            <w:pPr>
              <w:jc w:val="center"/>
              <w:rPr>
                <w:rFonts w:cs="Times New Roman"/>
                <w:b/>
                <w:bCs/>
                <w:sz w:val="20"/>
                <w:szCs w:val="20"/>
              </w:rPr>
            </w:pPr>
            <w:r w:rsidRPr="008325B3">
              <w:rPr>
                <w:rFonts w:cs="Times New Roman"/>
                <w:b/>
                <w:bCs/>
                <w:sz w:val="20"/>
                <w:szCs w:val="20"/>
              </w:rPr>
              <w:t>§ 3 ust. 1 zd. 2 projektu</w:t>
            </w:r>
          </w:p>
        </w:tc>
        <w:tc>
          <w:tcPr>
            <w:tcW w:w="2131" w:type="dxa"/>
          </w:tcPr>
          <w:p w14:paraId="76DE14AB" w14:textId="7935D35E" w:rsidR="00EE2820" w:rsidRPr="008325B3" w:rsidRDefault="00EE2820" w:rsidP="00E36D10">
            <w:pPr>
              <w:jc w:val="center"/>
              <w:rPr>
                <w:rFonts w:cs="Times New Roman"/>
                <w:sz w:val="20"/>
                <w:szCs w:val="20"/>
              </w:rPr>
            </w:pPr>
            <w:r w:rsidRPr="008325B3">
              <w:rPr>
                <w:rFonts w:cs="Times New Roman"/>
                <w:b/>
                <w:bCs/>
                <w:sz w:val="20"/>
                <w:szCs w:val="20"/>
              </w:rPr>
              <w:t>Wiceprezes SA w Szczecinie</w:t>
            </w:r>
            <w:r w:rsidRPr="008325B3">
              <w:rPr>
                <w:rFonts w:cs="Times New Roman"/>
                <w:sz w:val="20"/>
                <w:szCs w:val="20"/>
              </w:rPr>
              <w:t xml:space="preserve"> (Prezes SO w Szczecinie)</w:t>
            </w:r>
          </w:p>
          <w:p w14:paraId="065AE3AA" w14:textId="77777777" w:rsidR="00EE2820" w:rsidRPr="008325B3" w:rsidRDefault="00EE2820" w:rsidP="00E36D10">
            <w:pPr>
              <w:jc w:val="center"/>
              <w:rPr>
                <w:rFonts w:cs="Times New Roman"/>
                <w:b/>
                <w:bCs/>
                <w:sz w:val="20"/>
                <w:szCs w:val="20"/>
              </w:rPr>
            </w:pPr>
          </w:p>
        </w:tc>
        <w:tc>
          <w:tcPr>
            <w:tcW w:w="4962" w:type="dxa"/>
          </w:tcPr>
          <w:p w14:paraId="67AFE528" w14:textId="77777777" w:rsidR="00EE2820" w:rsidRPr="008325B3" w:rsidRDefault="00EE2820" w:rsidP="00EE2820">
            <w:pPr>
              <w:pStyle w:val="Default"/>
              <w:jc w:val="both"/>
              <w:rPr>
                <w:rFonts w:ascii="Times New Roman" w:hAnsi="Times New Roman" w:cs="Times New Roman"/>
                <w:color w:val="auto"/>
                <w:sz w:val="20"/>
                <w:szCs w:val="20"/>
              </w:rPr>
            </w:pPr>
            <w:r w:rsidRPr="008325B3">
              <w:rPr>
                <w:rFonts w:ascii="Times New Roman" w:hAnsi="Times New Roman" w:cs="Times New Roman"/>
                <w:color w:val="auto"/>
                <w:sz w:val="20"/>
                <w:szCs w:val="20"/>
              </w:rPr>
              <w:t>Propozycja, by w proj. przepisie doprecyzować, że powiadomienie e-mailem było generowane automatycznie przez PI, a nie przez pracownika sekretariatu wydziału.</w:t>
            </w:r>
          </w:p>
          <w:p w14:paraId="67DC9459" w14:textId="77777777" w:rsidR="00EE2820" w:rsidRPr="008325B3" w:rsidRDefault="00EE2820" w:rsidP="00A56BD8">
            <w:pPr>
              <w:autoSpaceDE w:val="0"/>
              <w:autoSpaceDN w:val="0"/>
              <w:adjustRightInd w:val="0"/>
              <w:jc w:val="both"/>
              <w:rPr>
                <w:rFonts w:cs="Times New Roman"/>
                <w:sz w:val="20"/>
                <w:szCs w:val="20"/>
              </w:rPr>
            </w:pPr>
          </w:p>
        </w:tc>
        <w:tc>
          <w:tcPr>
            <w:tcW w:w="4816" w:type="dxa"/>
          </w:tcPr>
          <w:p w14:paraId="1433FEE4" w14:textId="45364774" w:rsidR="00EE2820" w:rsidRPr="008325B3" w:rsidRDefault="00411C4F" w:rsidP="00B62148">
            <w:pPr>
              <w:jc w:val="both"/>
              <w:rPr>
                <w:rFonts w:cs="Times New Roman"/>
                <w:sz w:val="20"/>
                <w:szCs w:val="20"/>
              </w:rPr>
            </w:pPr>
            <w:r w:rsidRPr="008325B3">
              <w:rPr>
                <w:rFonts w:cs="Times New Roman"/>
                <w:b/>
                <w:bCs/>
                <w:sz w:val="20"/>
                <w:szCs w:val="20"/>
              </w:rPr>
              <w:t>Uwaga nieuwzględniona</w:t>
            </w:r>
            <w:r w:rsidRPr="008325B3">
              <w:rPr>
                <w:rFonts w:cs="Times New Roman"/>
                <w:sz w:val="20"/>
                <w:szCs w:val="20"/>
              </w:rPr>
              <w:t xml:space="preserve"> - wobec rezygnacji ze zdania regulującego kwestię przesyłania powiadomienia na e-mail na skutek uwzględnienia uwagi Prezesa SA we Wrocławiu ta uwaga</w:t>
            </w:r>
            <w:r w:rsidR="000D5E3C" w:rsidRPr="008325B3">
              <w:rPr>
                <w:rFonts w:cs="Times New Roman"/>
                <w:sz w:val="20"/>
                <w:szCs w:val="20"/>
              </w:rPr>
              <w:t xml:space="preserve"> zostaje </w:t>
            </w:r>
            <w:r w:rsidRPr="008325B3">
              <w:rPr>
                <w:rFonts w:cs="Times New Roman"/>
                <w:sz w:val="20"/>
                <w:szCs w:val="20"/>
              </w:rPr>
              <w:t>nieuwzględniona.</w:t>
            </w:r>
          </w:p>
        </w:tc>
      </w:tr>
      <w:tr w:rsidR="00EE2820" w:rsidRPr="008325B3" w14:paraId="3EE58BDF" w14:textId="77777777" w:rsidTr="00F0600D">
        <w:trPr>
          <w:trHeight w:val="1098"/>
        </w:trPr>
        <w:tc>
          <w:tcPr>
            <w:tcW w:w="834" w:type="dxa"/>
          </w:tcPr>
          <w:p w14:paraId="464927A9" w14:textId="61E9573B" w:rsidR="00EE2820" w:rsidRPr="008325B3" w:rsidRDefault="00974159" w:rsidP="00E36D10">
            <w:pPr>
              <w:tabs>
                <w:tab w:val="left" w:pos="360"/>
              </w:tabs>
              <w:jc w:val="center"/>
              <w:rPr>
                <w:rFonts w:cs="Times New Roman"/>
                <w:sz w:val="20"/>
                <w:szCs w:val="20"/>
              </w:rPr>
            </w:pPr>
            <w:r w:rsidRPr="008325B3">
              <w:rPr>
                <w:rFonts w:cs="Times New Roman"/>
                <w:sz w:val="20"/>
                <w:szCs w:val="20"/>
              </w:rPr>
              <w:t>7</w:t>
            </w:r>
          </w:p>
        </w:tc>
        <w:tc>
          <w:tcPr>
            <w:tcW w:w="1566" w:type="dxa"/>
          </w:tcPr>
          <w:p w14:paraId="7904E028" w14:textId="3B34A915" w:rsidR="00EE2820" w:rsidRPr="008325B3" w:rsidRDefault="00EE2820" w:rsidP="00E36D10">
            <w:pPr>
              <w:jc w:val="center"/>
              <w:rPr>
                <w:rFonts w:cs="Times New Roman"/>
                <w:b/>
                <w:bCs/>
                <w:sz w:val="20"/>
                <w:szCs w:val="20"/>
              </w:rPr>
            </w:pPr>
            <w:r w:rsidRPr="008325B3">
              <w:rPr>
                <w:rFonts w:cs="Times New Roman"/>
                <w:b/>
                <w:bCs/>
                <w:sz w:val="20"/>
                <w:szCs w:val="20"/>
              </w:rPr>
              <w:t>§ 3 ust. 1 i 2 projektu</w:t>
            </w:r>
          </w:p>
          <w:p w14:paraId="7F834B1E" w14:textId="77777777" w:rsidR="00EE2820" w:rsidRPr="008325B3" w:rsidRDefault="00EE2820" w:rsidP="00E36D10">
            <w:pPr>
              <w:jc w:val="center"/>
              <w:rPr>
                <w:rFonts w:cs="Times New Roman"/>
                <w:b/>
                <w:bCs/>
                <w:sz w:val="20"/>
                <w:szCs w:val="20"/>
              </w:rPr>
            </w:pPr>
          </w:p>
        </w:tc>
        <w:tc>
          <w:tcPr>
            <w:tcW w:w="2131" w:type="dxa"/>
          </w:tcPr>
          <w:p w14:paraId="086DAB0B" w14:textId="20FAB1BD" w:rsidR="00EE2820" w:rsidRPr="008325B3" w:rsidRDefault="00EE2820" w:rsidP="00E36D10">
            <w:pPr>
              <w:jc w:val="center"/>
              <w:rPr>
                <w:rFonts w:cs="Times New Roman"/>
                <w:b/>
                <w:bCs/>
                <w:sz w:val="20"/>
                <w:szCs w:val="20"/>
              </w:rPr>
            </w:pPr>
            <w:r w:rsidRPr="008325B3">
              <w:rPr>
                <w:rFonts w:cs="Times New Roman"/>
                <w:b/>
                <w:bCs/>
                <w:sz w:val="20"/>
                <w:szCs w:val="20"/>
              </w:rPr>
              <w:t>Prokurator Krajowy</w:t>
            </w:r>
          </w:p>
          <w:p w14:paraId="6AE5BE19" w14:textId="77777777" w:rsidR="00EE2820" w:rsidRPr="008325B3" w:rsidRDefault="00EE2820" w:rsidP="00E36D10">
            <w:pPr>
              <w:jc w:val="center"/>
              <w:rPr>
                <w:rFonts w:cs="Times New Roman"/>
                <w:b/>
                <w:bCs/>
                <w:sz w:val="20"/>
                <w:szCs w:val="20"/>
              </w:rPr>
            </w:pPr>
          </w:p>
        </w:tc>
        <w:tc>
          <w:tcPr>
            <w:tcW w:w="4962" w:type="dxa"/>
          </w:tcPr>
          <w:p w14:paraId="76852F40" w14:textId="07CED5A6" w:rsidR="00EE2820" w:rsidRPr="008325B3" w:rsidRDefault="00EE2820" w:rsidP="00EE2820">
            <w:pPr>
              <w:jc w:val="both"/>
              <w:rPr>
                <w:rFonts w:cs="Times New Roman"/>
                <w:sz w:val="20"/>
                <w:szCs w:val="20"/>
              </w:rPr>
            </w:pPr>
            <w:r w:rsidRPr="008325B3">
              <w:rPr>
                <w:rFonts w:cs="Times New Roman"/>
                <w:sz w:val="20"/>
                <w:szCs w:val="20"/>
              </w:rPr>
              <w:t xml:space="preserve">Wątpliwości rodzi rozumienie pojęcia </w:t>
            </w:r>
            <w:r w:rsidRPr="008325B3">
              <w:rPr>
                <w:rFonts w:cs="Times New Roman"/>
                <w:i/>
                <w:iCs/>
                <w:sz w:val="20"/>
                <w:szCs w:val="20"/>
              </w:rPr>
              <w:t>„doręczenia”</w:t>
            </w:r>
            <w:r w:rsidRPr="008325B3">
              <w:rPr>
                <w:rFonts w:cs="Times New Roman"/>
                <w:sz w:val="20"/>
                <w:szCs w:val="20"/>
              </w:rPr>
              <w:t xml:space="preserve"> jako umieszczenie treści w systemie informatycznym ze skutkiem równym doręczeniu, np. decyzji procesowej podjętej w formie postanowienia lub wyroku. Tym samym o</w:t>
            </w:r>
            <w:r w:rsidRPr="008325B3">
              <w:rPr>
                <w:rFonts w:cs="Times New Roman"/>
                <w:sz w:val="20"/>
                <w:szCs w:val="20"/>
                <w:u w:val="single"/>
              </w:rPr>
              <w:t>bowiązek doręczenia pisma sądowego</w:t>
            </w:r>
            <w:r w:rsidRPr="008325B3">
              <w:rPr>
                <w:rFonts w:cs="Times New Roman"/>
                <w:sz w:val="20"/>
                <w:szCs w:val="20"/>
              </w:rPr>
              <w:t xml:space="preserve"> skutkujący jego otrzymanie przez adresata </w:t>
            </w:r>
            <w:r w:rsidRPr="008325B3">
              <w:rPr>
                <w:rFonts w:cs="Times New Roman"/>
                <w:sz w:val="20"/>
                <w:szCs w:val="20"/>
                <w:u w:val="single"/>
              </w:rPr>
              <w:t>zostanie zastąpiony</w:t>
            </w:r>
            <w:r w:rsidRPr="008325B3">
              <w:rPr>
                <w:rFonts w:cs="Times New Roman"/>
                <w:sz w:val="20"/>
                <w:szCs w:val="20"/>
              </w:rPr>
              <w:t xml:space="preserve"> przez </w:t>
            </w:r>
            <w:r w:rsidRPr="008325B3">
              <w:rPr>
                <w:rFonts w:cs="Times New Roman"/>
                <w:sz w:val="20"/>
                <w:szCs w:val="20"/>
                <w:u w:val="single"/>
              </w:rPr>
              <w:t>zamieszczenie informacji o treści pisma w PI</w:t>
            </w:r>
            <w:r w:rsidRPr="008325B3">
              <w:rPr>
                <w:rFonts w:cs="Times New Roman"/>
                <w:sz w:val="20"/>
                <w:szCs w:val="20"/>
              </w:rPr>
              <w:t>.</w:t>
            </w:r>
          </w:p>
          <w:p w14:paraId="6E72A5F4" w14:textId="55A5CFA7" w:rsidR="00EE2820" w:rsidRPr="008325B3" w:rsidRDefault="00EE2820" w:rsidP="00EE2820">
            <w:pPr>
              <w:jc w:val="both"/>
              <w:rPr>
                <w:rFonts w:cs="Times New Roman"/>
                <w:sz w:val="20"/>
                <w:szCs w:val="20"/>
              </w:rPr>
            </w:pPr>
            <w:r w:rsidRPr="008325B3">
              <w:rPr>
                <w:rFonts w:cs="Times New Roman"/>
                <w:sz w:val="20"/>
                <w:szCs w:val="20"/>
              </w:rPr>
              <w:t>Za pośrednictwem PI doręczane będą także orzeczenia, na co wskazuje m.in. zawarta w §</w:t>
            </w:r>
            <w:r w:rsidRPr="008325B3">
              <w:rPr>
                <w:rFonts w:cs="Times New Roman"/>
                <w:b/>
                <w:bCs/>
                <w:sz w:val="20"/>
                <w:szCs w:val="20"/>
              </w:rPr>
              <w:t xml:space="preserve"> </w:t>
            </w:r>
            <w:r w:rsidRPr="008325B3">
              <w:rPr>
                <w:rFonts w:cs="Times New Roman"/>
                <w:sz w:val="20"/>
                <w:szCs w:val="20"/>
              </w:rPr>
              <w:t xml:space="preserve">2 pkt 5 proj. rozporządzenia definicja </w:t>
            </w:r>
            <w:r w:rsidRPr="008325B3">
              <w:rPr>
                <w:rFonts w:cs="Times New Roman"/>
                <w:i/>
                <w:iCs/>
                <w:sz w:val="20"/>
                <w:szCs w:val="20"/>
              </w:rPr>
              <w:t>„pisma”.</w:t>
            </w:r>
            <w:r w:rsidRPr="008325B3">
              <w:rPr>
                <w:rFonts w:cs="Times New Roman"/>
                <w:sz w:val="20"/>
                <w:szCs w:val="20"/>
              </w:rPr>
              <w:t xml:space="preserve"> Jednocześnie w § 3 ust. 2 proj. przewidziano, że </w:t>
            </w:r>
            <w:r w:rsidRPr="008325B3">
              <w:rPr>
                <w:rFonts w:cs="Times New Roman"/>
                <w:i/>
                <w:iCs/>
                <w:sz w:val="20"/>
                <w:szCs w:val="20"/>
              </w:rPr>
              <w:t>„pismo doręcza się poprzez umieszczeni</w:t>
            </w:r>
            <w:r w:rsidR="00AB6B14" w:rsidRPr="008325B3">
              <w:rPr>
                <w:rFonts w:cs="Times New Roman"/>
                <w:i/>
                <w:iCs/>
                <w:sz w:val="20"/>
                <w:szCs w:val="20"/>
              </w:rPr>
              <w:t>e</w:t>
            </w:r>
            <w:r w:rsidRPr="008325B3">
              <w:rPr>
                <w:rFonts w:cs="Times New Roman"/>
                <w:i/>
                <w:iCs/>
                <w:sz w:val="20"/>
                <w:szCs w:val="20"/>
              </w:rPr>
              <w:t xml:space="preserve"> w treści pisma pliku edytowalnego lub pliku do odczytu”,</w:t>
            </w:r>
            <w:r w:rsidRPr="008325B3">
              <w:rPr>
                <w:rFonts w:cs="Times New Roman"/>
                <w:sz w:val="20"/>
                <w:szCs w:val="20"/>
              </w:rPr>
              <w:t xml:space="preserve"> przy czym dla skuteczności doręczenia nie jest konieczne umieszczenie w treści pisma pieczęcie sądu, pozostałych pieczęci albo drukowanych na piśmie informacji, zastępujących pieczęcie imienne lub pieczęcie z danymi sądu lub jego komórek organizacyjnych.</w:t>
            </w:r>
          </w:p>
          <w:p w14:paraId="3F557DA6" w14:textId="77777777" w:rsidR="00EE2820" w:rsidRPr="008325B3" w:rsidRDefault="00EE2820" w:rsidP="00EE2820">
            <w:pPr>
              <w:jc w:val="both"/>
              <w:rPr>
                <w:rFonts w:cs="Times New Roman"/>
                <w:sz w:val="20"/>
                <w:szCs w:val="20"/>
                <w:u w:val="single"/>
              </w:rPr>
            </w:pPr>
            <w:r w:rsidRPr="008325B3">
              <w:rPr>
                <w:rFonts w:cs="Times New Roman"/>
                <w:sz w:val="20"/>
                <w:szCs w:val="20"/>
              </w:rPr>
              <w:t xml:space="preserve">W postanowieniu SN z dnie 27 stycznia 2006 r., sygn. akt III CK 369/05 wskazano, że odpisem w zrozumieniu k.p.c., w tym, odpisem orzeczenia w rozumieniu art. 140 k.p.c. jest dokument </w:t>
            </w:r>
            <w:r w:rsidRPr="008325B3">
              <w:rPr>
                <w:rFonts w:cs="Times New Roman"/>
                <w:sz w:val="20"/>
                <w:szCs w:val="20"/>
                <w:u w:val="single"/>
              </w:rPr>
              <w:t>wiernie odzwierciedlający treść oryginału orzeczenia albo jego kopia. Dokument ten nie musi być uwierzytelniony lub poświadczony za zgodność.</w:t>
            </w:r>
          </w:p>
          <w:p w14:paraId="13F1FE96" w14:textId="77777777" w:rsidR="00EE2820" w:rsidRPr="008325B3" w:rsidRDefault="00EE2820" w:rsidP="00EE2820">
            <w:pPr>
              <w:jc w:val="both"/>
              <w:rPr>
                <w:rFonts w:cs="Times New Roman"/>
                <w:sz w:val="20"/>
                <w:szCs w:val="20"/>
              </w:rPr>
            </w:pPr>
            <w:r w:rsidRPr="008325B3">
              <w:rPr>
                <w:rFonts w:cs="Times New Roman"/>
                <w:sz w:val="20"/>
                <w:szCs w:val="20"/>
              </w:rPr>
              <w:t xml:space="preserve">W tym zakresie rodzą się wątpliwości, czy doręczane za pośrednictwem PI orzeczenie jako plik edytowalny lub plik </w:t>
            </w:r>
            <w:r w:rsidRPr="008325B3">
              <w:rPr>
                <w:rFonts w:cs="Times New Roman"/>
                <w:sz w:val="20"/>
                <w:szCs w:val="20"/>
              </w:rPr>
              <w:lastRenderedPageBreak/>
              <w:t xml:space="preserve">do odczytu, niezawierających w treści pieczęci sądu, pozostałych pieczątek, albo drukowanych na piśmie informacji, zastępujących pieczątki imienne lub pieczątki z danymi sądu albo jego komórek organizacyjnych, może zostać uznane za odzwierciedlające wiernie treść oryginału orzeczenia (danych z systemu teleinformatycznego) i potraktowane jako jego odpis. </w:t>
            </w:r>
          </w:p>
          <w:p w14:paraId="337E6B95" w14:textId="02AC6897" w:rsidR="00EE2820" w:rsidRPr="008325B3" w:rsidRDefault="00EE2820" w:rsidP="00EE2820">
            <w:pPr>
              <w:jc w:val="both"/>
              <w:rPr>
                <w:rFonts w:cs="Times New Roman"/>
                <w:sz w:val="20"/>
                <w:szCs w:val="20"/>
              </w:rPr>
            </w:pPr>
            <w:r w:rsidRPr="008325B3">
              <w:rPr>
                <w:rFonts w:cs="Times New Roman"/>
                <w:sz w:val="20"/>
                <w:szCs w:val="20"/>
              </w:rPr>
              <w:t>Przyjęty w proj. sposób doręczania pism sądowych będzie zastępował fizyczne doręczanie takiego pisma, zawierającego cechy potwierdzające jego autentyczność – pieczątka nagłówkowa, okrągła pieczęć urzędowa oraz podpis co najmniej sekretarza sądowego, potwierdzającego zgodność z dokumentem znajdującym się w aktach sprawy.</w:t>
            </w:r>
          </w:p>
          <w:p w14:paraId="0ABABD32" w14:textId="77777777" w:rsidR="00EE2820" w:rsidRPr="008325B3" w:rsidRDefault="00EE2820" w:rsidP="00EE2820">
            <w:pPr>
              <w:pStyle w:val="Bezodstpw"/>
            </w:pPr>
          </w:p>
        </w:tc>
        <w:tc>
          <w:tcPr>
            <w:tcW w:w="4816" w:type="dxa"/>
          </w:tcPr>
          <w:p w14:paraId="6E40D958" w14:textId="77777777" w:rsidR="00EE2820" w:rsidRPr="008325B3" w:rsidRDefault="005F5911" w:rsidP="00B62148">
            <w:pPr>
              <w:jc w:val="both"/>
              <w:rPr>
                <w:rFonts w:cs="Times New Roman"/>
                <w:b/>
                <w:bCs/>
                <w:sz w:val="20"/>
                <w:szCs w:val="20"/>
              </w:rPr>
            </w:pPr>
            <w:r w:rsidRPr="008325B3">
              <w:rPr>
                <w:rFonts w:cs="Times New Roman"/>
                <w:b/>
                <w:bCs/>
                <w:sz w:val="20"/>
                <w:szCs w:val="20"/>
              </w:rPr>
              <w:lastRenderedPageBreak/>
              <w:t xml:space="preserve">Uwaga nieuwzględniona. </w:t>
            </w:r>
          </w:p>
          <w:p w14:paraId="38F8E13C" w14:textId="0D44C52F" w:rsidR="005F5911" w:rsidRPr="008325B3" w:rsidRDefault="005F5911" w:rsidP="00B62148">
            <w:pPr>
              <w:jc w:val="both"/>
              <w:rPr>
                <w:rFonts w:cs="Times New Roman"/>
                <w:sz w:val="20"/>
                <w:szCs w:val="20"/>
              </w:rPr>
            </w:pPr>
            <w:r w:rsidRPr="008325B3">
              <w:rPr>
                <w:rFonts w:cs="Times New Roman"/>
                <w:sz w:val="20"/>
                <w:szCs w:val="20"/>
              </w:rPr>
              <w:t>Przyjęta w projektowanym rozporządzeniu konstrukcja jest pochodną regulacji ustawowej.</w:t>
            </w:r>
            <w:r w:rsidR="00011E86" w:rsidRPr="008325B3">
              <w:rPr>
                <w:rFonts w:cs="Times New Roman"/>
                <w:sz w:val="20"/>
                <w:szCs w:val="20"/>
              </w:rPr>
              <w:t xml:space="preserve"> </w:t>
            </w:r>
            <w:r w:rsidRPr="008325B3">
              <w:rPr>
                <w:sz w:val="20"/>
                <w:szCs w:val="20"/>
              </w:rPr>
              <w:t>D</w:t>
            </w:r>
            <w:r w:rsidRPr="008325B3">
              <w:rPr>
                <w:rFonts w:cs="Times New Roman"/>
                <w:sz w:val="20"/>
                <w:szCs w:val="20"/>
              </w:rPr>
              <w:t>oręczenie dokonywanie w sposób przewidziany w art. 131</w:t>
            </w:r>
            <w:r w:rsidRPr="008325B3">
              <w:rPr>
                <w:rFonts w:cs="Times New Roman"/>
                <w:sz w:val="20"/>
                <w:szCs w:val="20"/>
                <w:vertAlign w:val="superscript"/>
              </w:rPr>
              <w:t>1a</w:t>
            </w:r>
            <w:r w:rsidRPr="008325B3">
              <w:rPr>
                <w:rFonts w:cs="Times New Roman"/>
                <w:sz w:val="20"/>
                <w:szCs w:val="20"/>
              </w:rPr>
              <w:t xml:space="preserve"> § 1 k.p.c. nie następuje przez doręczenie odpisu pisma, lecz poprzez „umieszczenie jego treści”.</w:t>
            </w:r>
            <w:r w:rsidR="00011E86" w:rsidRPr="008325B3">
              <w:rPr>
                <w:rFonts w:cs="Times New Roman"/>
                <w:sz w:val="20"/>
                <w:szCs w:val="20"/>
              </w:rPr>
              <w:t xml:space="preserve"> Jak wskazano w uzasadnieniu do ustawy z dnia 7 lipca 2023 r. o zmianie ustawy – Kodeks postępowania cywilnego, ustawy – Prawo o ustroju sądów powszechnych, ustawy – Kodeks postępowania karnego oraz niektórych innych ustaw (Dz. U. poz. 1860), o</w:t>
            </w:r>
            <w:r w:rsidRPr="008325B3">
              <w:rPr>
                <w:rFonts w:cs="Times New Roman"/>
                <w:sz w:val="20"/>
                <w:szCs w:val="20"/>
              </w:rPr>
              <w:t xml:space="preserve">znacza to, podobnie jak na gruncie ustawy </w:t>
            </w:r>
            <w:r w:rsidR="00011E86" w:rsidRPr="008325B3">
              <w:rPr>
                <w:rFonts w:cs="Times New Roman"/>
                <w:sz w:val="20"/>
                <w:szCs w:val="20"/>
              </w:rPr>
              <w:t>z dnia 2 marca 2020 r. o szczególnych rozwiązaniach związanych z zapobieganiem, przeciwdziałaniem i zwalczaniem COVID-19, innych chorób zakaźnych oraz wywołanych nimi sytuacji kryzysowych (Dz. U. z 2021 r. poz. 2095, z późn. zm),</w:t>
            </w:r>
            <w:r w:rsidRPr="008325B3">
              <w:rPr>
                <w:rFonts w:cs="Times New Roman"/>
                <w:sz w:val="20"/>
                <w:szCs w:val="20"/>
              </w:rPr>
              <w:t xml:space="preserve"> że pismo ma być zamieszczone w portalu informacyjnym w postaci elektronicznej, ale w dowolnej formie, a jedynym warunkiem jest umożliwienie zapoznania się z jego treścią. Przez treść należy rozumieć osnowę pisma, której znajomość pozwala na dokonanie niezbędnych czynności procesowych.</w:t>
            </w:r>
          </w:p>
        </w:tc>
      </w:tr>
      <w:tr w:rsidR="00F0600D" w:rsidRPr="008325B3" w14:paraId="2CFC9D6A" w14:textId="77777777" w:rsidTr="00F0600D">
        <w:trPr>
          <w:trHeight w:val="1098"/>
        </w:trPr>
        <w:tc>
          <w:tcPr>
            <w:tcW w:w="834" w:type="dxa"/>
          </w:tcPr>
          <w:p w14:paraId="0E44447B" w14:textId="4FC459AF" w:rsidR="00F0600D" w:rsidRPr="008325B3" w:rsidRDefault="00974159" w:rsidP="00E36D10">
            <w:pPr>
              <w:tabs>
                <w:tab w:val="left" w:pos="360"/>
              </w:tabs>
              <w:jc w:val="center"/>
              <w:rPr>
                <w:rFonts w:cs="Times New Roman"/>
                <w:sz w:val="20"/>
                <w:szCs w:val="20"/>
              </w:rPr>
            </w:pPr>
            <w:r w:rsidRPr="008325B3">
              <w:rPr>
                <w:rFonts w:cs="Times New Roman"/>
                <w:sz w:val="20"/>
                <w:szCs w:val="20"/>
              </w:rPr>
              <w:t>8</w:t>
            </w:r>
          </w:p>
        </w:tc>
        <w:tc>
          <w:tcPr>
            <w:tcW w:w="1566" w:type="dxa"/>
          </w:tcPr>
          <w:p w14:paraId="6C03DB7A" w14:textId="7DB3846F" w:rsidR="00F0600D" w:rsidRPr="008325B3" w:rsidRDefault="00F0600D" w:rsidP="00E36D10">
            <w:pPr>
              <w:jc w:val="center"/>
              <w:rPr>
                <w:rFonts w:cs="Times New Roman"/>
                <w:b/>
                <w:bCs/>
                <w:sz w:val="20"/>
                <w:szCs w:val="20"/>
              </w:rPr>
            </w:pPr>
            <w:r w:rsidRPr="008325B3">
              <w:rPr>
                <w:rFonts w:cs="Times New Roman"/>
                <w:b/>
                <w:bCs/>
                <w:sz w:val="20"/>
                <w:szCs w:val="20"/>
              </w:rPr>
              <w:t>§ 3 ust. 2 projektu</w:t>
            </w:r>
          </w:p>
        </w:tc>
        <w:tc>
          <w:tcPr>
            <w:tcW w:w="2131" w:type="dxa"/>
          </w:tcPr>
          <w:p w14:paraId="651D0D7C" w14:textId="4C816B6A" w:rsidR="00F0600D" w:rsidRPr="008325B3" w:rsidRDefault="00F0600D" w:rsidP="00E36D10">
            <w:pPr>
              <w:jc w:val="center"/>
              <w:rPr>
                <w:rFonts w:cs="Times New Roman"/>
                <w:b/>
                <w:bCs/>
                <w:sz w:val="20"/>
                <w:szCs w:val="20"/>
              </w:rPr>
            </w:pPr>
            <w:r w:rsidRPr="008325B3">
              <w:rPr>
                <w:rFonts w:cs="Times New Roman"/>
                <w:b/>
                <w:bCs/>
                <w:sz w:val="20"/>
                <w:szCs w:val="20"/>
              </w:rPr>
              <w:t>Wiceprezes SA w Krakowie</w:t>
            </w:r>
          </w:p>
          <w:p w14:paraId="269B4A34" w14:textId="77777777" w:rsidR="00F0600D" w:rsidRPr="008325B3" w:rsidRDefault="00F0600D" w:rsidP="00E36D10">
            <w:pPr>
              <w:jc w:val="center"/>
              <w:rPr>
                <w:rFonts w:cs="Times New Roman"/>
                <w:sz w:val="20"/>
                <w:szCs w:val="20"/>
              </w:rPr>
            </w:pPr>
            <w:r w:rsidRPr="008325B3">
              <w:rPr>
                <w:rFonts w:cs="Times New Roman"/>
                <w:sz w:val="20"/>
                <w:szCs w:val="20"/>
              </w:rPr>
              <w:t>(Prezes</w:t>
            </w:r>
          </w:p>
          <w:p w14:paraId="25125661" w14:textId="2B545AF7" w:rsidR="00F0600D" w:rsidRPr="008325B3" w:rsidRDefault="00F0600D" w:rsidP="00E36D10">
            <w:pPr>
              <w:jc w:val="center"/>
              <w:rPr>
                <w:rFonts w:cs="Times New Roman"/>
                <w:sz w:val="20"/>
                <w:szCs w:val="20"/>
              </w:rPr>
            </w:pPr>
            <w:r w:rsidRPr="008325B3">
              <w:rPr>
                <w:rFonts w:cs="Times New Roman"/>
                <w:sz w:val="20"/>
                <w:szCs w:val="20"/>
              </w:rPr>
              <w:t>SO w Kielcach – inspektorzy do spraw biurowości SO w Kielcach)</w:t>
            </w:r>
          </w:p>
        </w:tc>
        <w:tc>
          <w:tcPr>
            <w:tcW w:w="4962" w:type="dxa"/>
          </w:tcPr>
          <w:p w14:paraId="4F248DC8" w14:textId="66AF90C7" w:rsidR="00F0600D" w:rsidRPr="008325B3" w:rsidRDefault="00F0600D" w:rsidP="00FE661B">
            <w:pPr>
              <w:autoSpaceDE w:val="0"/>
              <w:autoSpaceDN w:val="0"/>
              <w:adjustRightInd w:val="0"/>
              <w:jc w:val="both"/>
              <w:rPr>
                <w:rFonts w:cs="Times New Roman"/>
                <w:sz w:val="20"/>
                <w:szCs w:val="20"/>
              </w:rPr>
            </w:pPr>
            <w:r w:rsidRPr="008325B3">
              <w:rPr>
                <w:rFonts w:cs="Times New Roman"/>
                <w:sz w:val="20"/>
                <w:szCs w:val="20"/>
              </w:rPr>
              <w:t>Proj. przepis jest niejasny</w:t>
            </w:r>
            <w:r w:rsidR="009740B4" w:rsidRPr="008325B3">
              <w:rPr>
                <w:rFonts w:cs="Times New Roman"/>
                <w:sz w:val="20"/>
                <w:szCs w:val="20"/>
              </w:rPr>
              <w:t xml:space="preserve"> i </w:t>
            </w:r>
            <w:r w:rsidRPr="008325B3">
              <w:rPr>
                <w:rFonts w:cs="Times New Roman"/>
                <w:sz w:val="20"/>
                <w:szCs w:val="20"/>
              </w:rPr>
              <w:t xml:space="preserve">niezgodny z treścią § 100a rozporządzenia MS z dnia 18 czerwca 2019 r. – </w:t>
            </w:r>
            <w:r w:rsidRPr="008325B3">
              <w:rPr>
                <w:rFonts w:cs="Times New Roman"/>
                <w:i/>
                <w:iCs/>
                <w:sz w:val="20"/>
                <w:szCs w:val="20"/>
              </w:rPr>
              <w:t>Regulamin urzędowania sądów powszechnych</w:t>
            </w:r>
            <w:r w:rsidRPr="008325B3">
              <w:rPr>
                <w:rFonts w:cs="Times New Roman"/>
                <w:sz w:val="20"/>
                <w:szCs w:val="20"/>
              </w:rPr>
              <w:t xml:space="preserve"> (Dz. U. 2022 poz. 2514, z późn.zm.), który wskazuje że pismo sądowe, które może być wysyłane bez podpisu, a w razie przesłania odpisu orzeczenia pismo przewodnie, przy którym odpis jest przesyłany zawiera wskazanie stanowiska służbowego lub pełnionej funkcji oraz imię i nazwisko osoby, która podpisałaby pismo sądowe, gdyby nie możliwość jego wysyłki bez podpisu (nie ma wymogu zamieszczenia pieczęci urzędowej i poświadczenia zgodności z oryginałem na przesłanym odpisie orzeczenia). Nie wiadomo zatem czy pisma określone w projektowanym rozporządzeniu wysyłane przez PI powinny zawierać dane osób je podpisujących.</w:t>
            </w:r>
          </w:p>
          <w:p w14:paraId="4B8890BE" w14:textId="486019BB" w:rsidR="00F0600D" w:rsidRPr="008325B3" w:rsidRDefault="00F0600D" w:rsidP="00FE661B">
            <w:pPr>
              <w:jc w:val="both"/>
              <w:rPr>
                <w:rFonts w:cs="Times New Roman"/>
                <w:sz w:val="20"/>
                <w:szCs w:val="20"/>
              </w:rPr>
            </w:pPr>
          </w:p>
        </w:tc>
        <w:tc>
          <w:tcPr>
            <w:tcW w:w="4816" w:type="dxa"/>
          </w:tcPr>
          <w:p w14:paraId="5125AA21" w14:textId="4A395BDC" w:rsidR="00F0600D" w:rsidRPr="008325B3" w:rsidRDefault="00FA6A74" w:rsidP="004230D8">
            <w:pPr>
              <w:jc w:val="both"/>
              <w:rPr>
                <w:rFonts w:cs="Times New Roman"/>
                <w:b/>
                <w:bCs/>
                <w:sz w:val="20"/>
                <w:szCs w:val="20"/>
              </w:rPr>
            </w:pPr>
            <w:r w:rsidRPr="008325B3">
              <w:rPr>
                <w:rFonts w:cs="Times New Roman"/>
                <w:b/>
                <w:bCs/>
                <w:sz w:val="20"/>
                <w:szCs w:val="20"/>
              </w:rPr>
              <w:t>Uwaga uwzględniona</w:t>
            </w:r>
            <w:r w:rsidR="00B52612" w:rsidRPr="008325B3">
              <w:rPr>
                <w:rFonts w:cs="Times New Roman"/>
                <w:b/>
                <w:bCs/>
                <w:sz w:val="20"/>
                <w:szCs w:val="20"/>
              </w:rPr>
              <w:t xml:space="preserve"> – </w:t>
            </w:r>
            <w:r w:rsidR="00B52612" w:rsidRPr="008325B3">
              <w:rPr>
                <w:rFonts w:cs="Times New Roman"/>
                <w:sz w:val="20"/>
                <w:szCs w:val="20"/>
              </w:rPr>
              <w:t>zrezygnowano z</w:t>
            </w:r>
            <w:r w:rsidRPr="008325B3">
              <w:rPr>
                <w:rFonts w:cs="Times New Roman"/>
                <w:sz w:val="20"/>
                <w:szCs w:val="20"/>
              </w:rPr>
              <w:t xml:space="preserve"> </w:t>
            </w:r>
            <w:r w:rsidR="00B52612" w:rsidRPr="008325B3">
              <w:rPr>
                <w:rFonts w:cs="Times New Roman"/>
                <w:sz w:val="20"/>
                <w:szCs w:val="20"/>
              </w:rPr>
              <w:t xml:space="preserve">§ 3 ust. 2 </w:t>
            </w:r>
            <w:r w:rsidR="00B52612" w:rsidRPr="008325B3">
              <w:rPr>
                <w:rFonts w:cs="Times New Roman"/>
                <w:i/>
                <w:iCs/>
                <w:sz w:val="20"/>
                <w:szCs w:val="20"/>
              </w:rPr>
              <w:t>in fine</w:t>
            </w:r>
            <w:r w:rsidR="00B52612" w:rsidRPr="008325B3">
              <w:rPr>
                <w:rFonts w:cs="Times New Roman"/>
                <w:sz w:val="20"/>
                <w:szCs w:val="20"/>
              </w:rPr>
              <w:t xml:space="preserve"> projektu.</w:t>
            </w:r>
          </w:p>
        </w:tc>
      </w:tr>
      <w:tr w:rsidR="00F0600D" w:rsidRPr="008325B3" w14:paraId="7319D867" w14:textId="77777777" w:rsidTr="00F0600D">
        <w:trPr>
          <w:trHeight w:val="812"/>
        </w:trPr>
        <w:tc>
          <w:tcPr>
            <w:tcW w:w="834" w:type="dxa"/>
          </w:tcPr>
          <w:p w14:paraId="0F793AFB" w14:textId="3AB173F4" w:rsidR="00F0600D" w:rsidRPr="008325B3" w:rsidRDefault="00974159" w:rsidP="00E36D10">
            <w:pPr>
              <w:tabs>
                <w:tab w:val="left" w:pos="360"/>
              </w:tabs>
              <w:jc w:val="center"/>
              <w:rPr>
                <w:rFonts w:cs="Times New Roman"/>
                <w:sz w:val="20"/>
                <w:szCs w:val="20"/>
              </w:rPr>
            </w:pPr>
            <w:r w:rsidRPr="008325B3">
              <w:rPr>
                <w:rFonts w:cs="Times New Roman"/>
                <w:sz w:val="20"/>
                <w:szCs w:val="20"/>
              </w:rPr>
              <w:t>9</w:t>
            </w:r>
          </w:p>
        </w:tc>
        <w:tc>
          <w:tcPr>
            <w:tcW w:w="1566" w:type="dxa"/>
          </w:tcPr>
          <w:p w14:paraId="38D8711F" w14:textId="4E6F115F" w:rsidR="00F0600D" w:rsidRPr="008325B3" w:rsidRDefault="00F0600D" w:rsidP="00E36D10">
            <w:pPr>
              <w:jc w:val="center"/>
              <w:rPr>
                <w:rFonts w:cs="Times New Roman"/>
                <w:b/>
                <w:bCs/>
                <w:sz w:val="20"/>
                <w:szCs w:val="20"/>
              </w:rPr>
            </w:pPr>
            <w:r w:rsidRPr="008325B3">
              <w:rPr>
                <w:rFonts w:cs="Times New Roman"/>
                <w:b/>
                <w:bCs/>
                <w:sz w:val="20"/>
                <w:szCs w:val="20"/>
              </w:rPr>
              <w:t>§ 3 ust. 2 projektu</w:t>
            </w:r>
          </w:p>
        </w:tc>
        <w:tc>
          <w:tcPr>
            <w:tcW w:w="2131" w:type="dxa"/>
          </w:tcPr>
          <w:p w14:paraId="46EF2AAE" w14:textId="1C028D7D" w:rsidR="00F0600D" w:rsidRPr="008325B3" w:rsidRDefault="00F0600D" w:rsidP="00E36D10">
            <w:pPr>
              <w:jc w:val="center"/>
              <w:rPr>
                <w:rFonts w:cs="Times New Roman"/>
                <w:b/>
                <w:bCs/>
                <w:sz w:val="20"/>
                <w:szCs w:val="20"/>
              </w:rPr>
            </w:pPr>
            <w:r w:rsidRPr="008325B3">
              <w:rPr>
                <w:rFonts w:cs="Times New Roman"/>
                <w:b/>
                <w:bCs/>
                <w:sz w:val="20"/>
                <w:szCs w:val="20"/>
              </w:rPr>
              <w:t>Prezes SA w Katowicach</w:t>
            </w:r>
          </w:p>
          <w:p w14:paraId="60452C6D" w14:textId="77777777" w:rsidR="00F0600D" w:rsidRPr="008325B3" w:rsidRDefault="00F0600D" w:rsidP="00E36D10">
            <w:pPr>
              <w:jc w:val="center"/>
              <w:rPr>
                <w:rFonts w:cs="Times New Roman"/>
                <w:sz w:val="20"/>
                <w:szCs w:val="20"/>
              </w:rPr>
            </w:pPr>
            <w:r w:rsidRPr="008325B3">
              <w:rPr>
                <w:rFonts w:cs="Times New Roman"/>
                <w:sz w:val="20"/>
                <w:szCs w:val="20"/>
              </w:rPr>
              <w:t>(Wiceprezesa SO w</w:t>
            </w:r>
          </w:p>
          <w:p w14:paraId="44BD9D77" w14:textId="095DDD45" w:rsidR="00F0600D" w:rsidRPr="008325B3" w:rsidRDefault="00F0600D" w:rsidP="00E36D10">
            <w:pPr>
              <w:jc w:val="center"/>
              <w:rPr>
                <w:rFonts w:cs="Times New Roman"/>
                <w:sz w:val="20"/>
                <w:szCs w:val="20"/>
              </w:rPr>
            </w:pPr>
            <w:r w:rsidRPr="008325B3">
              <w:rPr>
                <w:rFonts w:cs="Times New Roman"/>
                <w:sz w:val="20"/>
                <w:szCs w:val="20"/>
              </w:rPr>
              <w:lastRenderedPageBreak/>
              <w:t>Sosnowcu – orzecznicy SR w Dąbrowie Górniczej)</w:t>
            </w:r>
          </w:p>
        </w:tc>
        <w:tc>
          <w:tcPr>
            <w:tcW w:w="4962" w:type="dxa"/>
          </w:tcPr>
          <w:p w14:paraId="6BAA1AA4" w14:textId="42A32C8A" w:rsidR="00F0600D" w:rsidRPr="008325B3" w:rsidRDefault="00F0600D" w:rsidP="00D567C8">
            <w:pPr>
              <w:autoSpaceDE w:val="0"/>
              <w:autoSpaceDN w:val="0"/>
              <w:adjustRightInd w:val="0"/>
              <w:jc w:val="both"/>
              <w:rPr>
                <w:rFonts w:cs="Times New Roman"/>
                <w:sz w:val="20"/>
                <w:szCs w:val="20"/>
              </w:rPr>
            </w:pPr>
            <w:r w:rsidRPr="008325B3">
              <w:rPr>
                <w:rFonts w:cs="Times New Roman"/>
                <w:sz w:val="20"/>
                <w:szCs w:val="20"/>
              </w:rPr>
              <w:lastRenderedPageBreak/>
              <w:t xml:space="preserve">Doręczenia powinny następować poprzez umieszczenie treści pisma </w:t>
            </w:r>
            <w:r w:rsidRPr="008325B3">
              <w:rPr>
                <w:rFonts w:cs="Times New Roman"/>
                <w:sz w:val="20"/>
                <w:szCs w:val="20"/>
                <w:u w:val="single"/>
              </w:rPr>
              <w:t>tylko w formie do odczytu, a nie w formie edytowalnej</w:t>
            </w:r>
            <w:r w:rsidRPr="008325B3">
              <w:rPr>
                <w:rFonts w:cs="Times New Roman"/>
                <w:sz w:val="20"/>
                <w:szCs w:val="20"/>
              </w:rPr>
              <w:t xml:space="preserve">. </w:t>
            </w:r>
            <w:r w:rsidRPr="008325B3">
              <w:rPr>
                <w:rFonts w:cs="Times New Roman"/>
                <w:sz w:val="20"/>
                <w:szCs w:val="20"/>
                <w:u w:val="single"/>
              </w:rPr>
              <w:t>Przez pismo proj. rozporządzenie rozumie bowiem także orzeczenia</w:t>
            </w:r>
            <w:r w:rsidRPr="008325B3">
              <w:rPr>
                <w:rFonts w:cs="Times New Roman"/>
                <w:sz w:val="20"/>
                <w:szCs w:val="20"/>
              </w:rPr>
              <w:t xml:space="preserve">. Jeśli już, to rozporządzenie </w:t>
            </w:r>
            <w:r w:rsidRPr="008325B3">
              <w:rPr>
                <w:rFonts w:cs="Times New Roman"/>
                <w:sz w:val="20"/>
                <w:szCs w:val="20"/>
              </w:rPr>
              <w:lastRenderedPageBreak/>
              <w:t>powinno ograniczyć tę możliwość poprzez wymienienie  tych rodzajów pism, które można doręczyć poprzez umieszczenie treści pisma w postaci pliku edytowalnego.</w:t>
            </w:r>
          </w:p>
          <w:p w14:paraId="394EA809" w14:textId="4207136F" w:rsidR="00F0600D" w:rsidRPr="008325B3" w:rsidRDefault="00F0600D" w:rsidP="00D567C8">
            <w:pPr>
              <w:autoSpaceDE w:val="0"/>
              <w:autoSpaceDN w:val="0"/>
              <w:adjustRightInd w:val="0"/>
              <w:jc w:val="both"/>
              <w:rPr>
                <w:rFonts w:cs="Times New Roman"/>
                <w:sz w:val="20"/>
                <w:szCs w:val="20"/>
              </w:rPr>
            </w:pPr>
          </w:p>
        </w:tc>
        <w:tc>
          <w:tcPr>
            <w:tcW w:w="4816" w:type="dxa"/>
          </w:tcPr>
          <w:p w14:paraId="7D29E38B" w14:textId="77777777" w:rsidR="005C5C67" w:rsidRPr="008325B3" w:rsidRDefault="005C5C67" w:rsidP="001D61D2">
            <w:pPr>
              <w:jc w:val="both"/>
              <w:rPr>
                <w:rFonts w:cs="Times New Roman"/>
                <w:b/>
                <w:bCs/>
                <w:sz w:val="20"/>
                <w:szCs w:val="20"/>
              </w:rPr>
            </w:pPr>
            <w:r w:rsidRPr="008325B3">
              <w:rPr>
                <w:rFonts w:cs="Times New Roman"/>
                <w:b/>
                <w:bCs/>
                <w:sz w:val="20"/>
                <w:szCs w:val="20"/>
              </w:rPr>
              <w:lastRenderedPageBreak/>
              <w:t xml:space="preserve">Uwaga nieuwzględniona. </w:t>
            </w:r>
          </w:p>
          <w:p w14:paraId="4CB04324" w14:textId="1D723418" w:rsidR="005C5C67" w:rsidRPr="008325B3" w:rsidRDefault="005C5C67" w:rsidP="001D61D2">
            <w:pPr>
              <w:jc w:val="both"/>
              <w:rPr>
                <w:rFonts w:cs="Times New Roman"/>
                <w:sz w:val="20"/>
                <w:szCs w:val="20"/>
              </w:rPr>
            </w:pPr>
            <w:r w:rsidRPr="008325B3">
              <w:rPr>
                <w:rFonts w:cs="Times New Roman"/>
                <w:sz w:val="20"/>
                <w:szCs w:val="20"/>
              </w:rPr>
              <w:t>Brak jest przeciwskazań dla doręczenia poprzez umieszczenie w portalu informacyjnym treści pisma</w:t>
            </w:r>
            <w:r w:rsidRPr="008325B3">
              <w:rPr>
                <w:rFonts w:cs="Times New Roman"/>
                <w:b/>
                <w:bCs/>
                <w:sz w:val="20"/>
                <w:szCs w:val="20"/>
              </w:rPr>
              <w:t xml:space="preserve"> </w:t>
            </w:r>
            <w:r w:rsidRPr="008325B3">
              <w:rPr>
                <w:rFonts w:cs="Times New Roman"/>
                <w:sz w:val="20"/>
                <w:szCs w:val="20"/>
              </w:rPr>
              <w:t xml:space="preserve">sądowego także w postaci edytowalnej. Zwłaszcza, że </w:t>
            </w:r>
            <w:r w:rsidR="00B52612" w:rsidRPr="008325B3">
              <w:rPr>
                <w:rFonts w:cs="Times New Roman"/>
                <w:sz w:val="20"/>
                <w:szCs w:val="20"/>
              </w:rPr>
              <w:t xml:space="preserve">z </w:t>
            </w:r>
            <w:r w:rsidR="005E5DAA" w:rsidRPr="008325B3">
              <w:rPr>
                <w:rFonts w:cs="Times New Roman"/>
                <w:sz w:val="20"/>
                <w:szCs w:val="20"/>
              </w:rPr>
              <w:lastRenderedPageBreak/>
              <w:t xml:space="preserve">definicji pisma (§ 2 pkt 4) wynika, że rozumie się przez nie dane z portalu informacyjnego obejmujące treść pisma sądowego podlegającego doręczenia, w tym orzeczenia (w znaczeniu dane z PI obejmujące treść orzeczenie). W przepisie tym nie chodzi zatem o odpis orzeczenia. </w:t>
            </w:r>
          </w:p>
          <w:p w14:paraId="199137E4" w14:textId="3F8A98FE" w:rsidR="00B52612" w:rsidRPr="008325B3" w:rsidRDefault="00B52612" w:rsidP="001D61D2">
            <w:pPr>
              <w:jc w:val="both"/>
              <w:rPr>
                <w:rFonts w:cs="Times New Roman"/>
                <w:b/>
                <w:bCs/>
                <w:sz w:val="20"/>
                <w:szCs w:val="20"/>
              </w:rPr>
            </w:pPr>
          </w:p>
        </w:tc>
      </w:tr>
      <w:tr w:rsidR="0079621A" w:rsidRPr="008325B3" w14:paraId="5592BF7D" w14:textId="77777777" w:rsidTr="00F0600D">
        <w:trPr>
          <w:trHeight w:val="812"/>
        </w:trPr>
        <w:tc>
          <w:tcPr>
            <w:tcW w:w="834" w:type="dxa"/>
          </w:tcPr>
          <w:p w14:paraId="23726403" w14:textId="34A77D43" w:rsidR="0079621A" w:rsidRPr="008325B3" w:rsidRDefault="00974159" w:rsidP="00E36D10">
            <w:pPr>
              <w:tabs>
                <w:tab w:val="left" w:pos="360"/>
              </w:tabs>
              <w:jc w:val="center"/>
              <w:rPr>
                <w:rFonts w:cs="Times New Roman"/>
                <w:sz w:val="20"/>
                <w:szCs w:val="20"/>
              </w:rPr>
            </w:pPr>
            <w:r w:rsidRPr="008325B3">
              <w:rPr>
                <w:rFonts w:cs="Times New Roman"/>
                <w:sz w:val="20"/>
                <w:szCs w:val="20"/>
              </w:rPr>
              <w:lastRenderedPageBreak/>
              <w:t>10</w:t>
            </w:r>
          </w:p>
        </w:tc>
        <w:tc>
          <w:tcPr>
            <w:tcW w:w="1566" w:type="dxa"/>
          </w:tcPr>
          <w:p w14:paraId="5CB26375" w14:textId="77777777" w:rsidR="00336C79" w:rsidRPr="008325B3" w:rsidRDefault="00336C79" w:rsidP="00E36D10">
            <w:pPr>
              <w:autoSpaceDE w:val="0"/>
              <w:autoSpaceDN w:val="0"/>
              <w:adjustRightInd w:val="0"/>
              <w:jc w:val="center"/>
              <w:rPr>
                <w:rFonts w:cs="Times New Roman"/>
                <w:b/>
                <w:bCs/>
                <w:sz w:val="20"/>
                <w:szCs w:val="20"/>
              </w:rPr>
            </w:pPr>
            <w:r w:rsidRPr="008325B3">
              <w:rPr>
                <w:rFonts w:cs="Times New Roman"/>
                <w:b/>
                <w:bCs/>
                <w:sz w:val="20"/>
                <w:szCs w:val="20"/>
              </w:rPr>
              <w:t>§ 3 ust. 2 projektu</w:t>
            </w:r>
          </w:p>
          <w:p w14:paraId="76738E92" w14:textId="77777777" w:rsidR="0079621A" w:rsidRPr="008325B3" w:rsidRDefault="0079621A" w:rsidP="00E36D10">
            <w:pPr>
              <w:jc w:val="center"/>
              <w:rPr>
                <w:rFonts w:cs="Times New Roman"/>
                <w:b/>
                <w:bCs/>
                <w:sz w:val="20"/>
                <w:szCs w:val="20"/>
              </w:rPr>
            </w:pPr>
          </w:p>
        </w:tc>
        <w:tc>
          <w:tcPr>
            <w:tcW w:w="2131" w:type="dxa"/>
          </w:tcPr>
          <w:p w14:paraId="4A315BD1" w14:textId="256EAF24" w:rsidR="0079621A" w:rsidRPr="008325B3" w:rsidRDefault="00336C79" w:rsidP="00E36D10">
            <w:pPr>
              <w:jc w:val="center"/>
              <w:rPr>
                <w:rFonts w:cs="Times New Roman"/>
                <w:b/>
                <w:bCs/>
                <w:sz w:val="20"/>
                <w:szCs w:val="20"/>
              </w:rPr>
            </w:pPr>
            <w:r w:rsidRPr="008325B3">
              <w:rPr>
                <w:rFonts w:cs="Times New Roman"/>
                <w:b/>
                <w:bCs/>
                <w:sz w:val="20"/>
                <w:szCs w:val="20"/>
              </w:rPr>
              <w:t>Sędzia SA we Wrocławiu z up. Prezesa SA we Wrocławiu</w:t>
            </w:r>
            <w:r w:rsidRPr="008325B3">
              <w:rPr>
                <w:rFonts w:cs="Times New Roman"/>
                <w:sz w:val="20"/>
                <w:szCs w:val="20"/>
              </w:rPr>
              <w:t xml:space="preserve"> – Odział  Informatyczny SA we Wrocławiu</w:t>
            </w:r>
          </w:p>
        </w:tc>
        <w:tc>
          <w:tcPr>
            <w:tcW w:w="4962" w:type="dxa"/>
          </w:tcPr>
          <w:p w14:paraId="233F09B7" w14:textId="67474D5E" w:rsidR="00336C79" w:rsidRPr="008325B3" w:rsidRDefault="00336C79" w:rsidP="00336C79">
            <w:pPr>
              <w:autoSpaceDE w:val="0"/>
              <w:autoSpaceDN w:val="0"/>
              <w:adjustRightInd w:val="0"/>
              <w:jc w:val="both"/>
              <w:rPr>
                <w:rFonts w:cs="Times New Roman"/>
                <w:sz w:val="20"/>
                <w:szCs w:val="20"/>
              </w:rPr>
            </w:pPr>
            <w:r w:rsidRPr="008325B3">
              <w:rPr>
                <w:rFonts w:cs="Times New Roman"/>
                <w:sz w:val="20"/>
                <w:szCs w:val="20"/>
              </w:rPr>
              <w:t xml:space="preserve">Sformowanie </w:t>
            </w:r>
            <w:r w:rsidRPr="008325B3">
              <w:rPr>
                <w:rFonts w:cs="Times New Roman"/>
                <w:i/>
                <w:iCs/>
                <w:sz w:val="20"/>
                <w:szCs w:val="20"/>
              </w:rPr>
              <w:t>„przy czym umieszczenia w treści pisma pieczęci sadu, pozostałych pieczęci albo drukowanych na piśmie informacji, zastępujących pieczecie imienne lub pieczecie z danymi sądu lub jego komórek organizacyjnych, nie jest konieczne dla skuteczności doręczenia”</w:t>
            </w:r>
            <w:r w:rsidRPr="008325B3">
              <w:rPr>
                <w:rFonts w:cs="Times New Roman"/>
                <w:sz w:val="20"/>
                <w:szCs w:val="20"/>
              </w:rPr>
              <w:t xml:space="preserve"> z uwagi na treść § 100a rozporządzenia z dnia 18 czerwca 2019 r. – </w:t>
            </w:r>
            <w:r w:rsidRPr="008325B3">
              <w:rPr>
                <w:rFonts w:cs="Times New Roman"/>
                <w:i/>
                <w:iCs/>
                <w:sz w:val="20"/>
                <w:szCs w:val="20"/>
              </w:rPr>
              <w:t>Regulamin urzędowania sądów powszechnych</w:t>
            </w:r>
            <w:r w:rsidRPr="008325B3">
              <w:rPr>
                <w:rFonts w:cs="Times New Roman"/>
                <w:sz w:val="20"/>
                <w:szCs w:val="20"/>
              </w:rPr>
              <w:t xml:space="preserve"> (Dz. U. 2022 poz. 2514, z późn.zm.), rekomenduje się usuniecie fragmentu po słowach, </w:t>
            </w:r>
            <w:r w:rsidRPr="008325B3">
              <w:rPr>
                <w:rFonts w:cs="Times New Roman"/>
                <w:i/>
                <w:iCs/>
                <w:sz w:val="20"/>
                <w:szCs w:val="20"/>
              </w:rPr>
              <w:t>„przy czym (…)”.</w:t>
            </w:r>
          </w:p>
          <w:p w14:paraId="629C469A" w14:textId="77777777" w:rsidR="0079621A" w:rsidRPr="008325B3" w:rsidRDefault="0079621A" w:rsidP="00D567C8">
            <w:pPr>
              <w:pStyle w:val="Default"/>
              <w:jc w:val="both"/>
              <w:rPr>
                <w:rFonts w:ascii="Times New Roman" w:hAnsi="Times New Roman" w:cs="Times New Roman"/>
                <w:color w:val="auto"/>
                <w:sz w:val="20"/>
                <w:szCs w:val="20"/>
              </w:rPr>
            </w:pPr>
          </w:p>
        </w:tc>
        <w:tc>
          <w:tcPr>
            <w:tcW w:w="4816" w:type="dxa"/>
          </w:tcPr>
          <w:p w14:paraId="204D6E72" w14:textId="467F4B68" w:rsidR="00BF07AF" w:rsidRPr="008325B3" w:rsidRDefault="001F5437" w:rsidP="00D66757">
            <w:pPr>
              <w:pStyle w:val="Bezodstpw"/>
              <w:rPr>
                <w:b/>
                <w:bCs/>
                <w:sz w:val="20"/>
                <w:szCs w:val="20"/>
              </w:rPr>
            </w:pPr>
            <w:r w:rsidRPr="008325B3">
              <w:rPr>
                <w:b/>
                <w:bCs/>
                <w:sz w:val="20"/>
                <w:szCs w:val="20"/>
              </w:rPr>
              <w:t xml:space="preserve">Uwaga uwzględniona. </w:t>
            </w:r>
          </w:p>
        </w:tc>
      </w:tr>
      <w:tr w:rsidR="0079621A" w:rsidRPr="008325B3" w14:paraId="475B322C" w14:textId="77777777" w:rsidTr="00F0600D">
        <w:trPr>
          <w:trHeight w:val="812"/>
        </w:trPr>
        <w:tc>
          <w:tcPr>
            <w:tcW w:w="834" w:type="dxa"/>
          </w:tcPr>
          <w:p w14:paraId="727F22F6" w14:textId="1B2EC211" w:rsidR="0079621A" w:rsidRPr="008325B3" w:rsidRDefault="00974159" w:rsidP="00E36D10">
            <w:pPr>
              <w:tabs>
                <w:tab w:val="left" w:pos="360"/>
              </w:tabs>
              <w:jc w:val="center"/>
              <w:rPr>
                <w:rFonts w:cs="Times New Roman"/>
                <w:sz w:val="20"/>
                <w:szCs w:val="20"/>
              </w:rPr>
            </w:pPr>
            <w:r w:rsidRPr="008325B3">
              <w:rPr>
                <w:rFonts w:cs="Times New Roman"/>
                <w:sz w:val="20"/>
                <w:szCs w:val="20"/>
              </w:rPr>
              <w:t>11</w:t>
            </w:r>
          </w:p>
        </w:tc>
        <w:tc>
          <w:tcPr>
            <w:tcW w:w="1566" w:type="dxa"/>
          </w:tcPr>
          <w:p w14:paraId="1A7901A1" w14:textId="77777777" w:rsidR="0079621A" w:rsidRPr="008325B3" w:rsidRDefault="0079621A" w:rsidP="00E36D10">
            <w:pPr>
              <w:autoSpaceDE w:val="0"/>
              <w:autoSpaceDN w:val="0"/>
              <w:adjustRightInd w:val="0"/>
              <w:jc w:val="center"/>
              <w:rPr>
                <w:rFonts w:cs="Times New Roman"/>
                <w:b/>
                <w:bCs/>
                <w:sz w:val="20"/>
                <w:szCs w:val="20"/>
              </w:rPr>
            </w:pPr>
            <w:r w:rsidRPr="008325B3">
              <w:rPr>
                <w:rFonts w:cs="Times New Roman"/>
                <w:b/>
                <w:bCs/>
                <w:sz w:val="20"/>
                <w:szCs w:val="20"/>
              </w:rPr>
              <w:t>§ 4 ust. 1 projektu</w:t>
            </w:r>
          </w:p>
          <w:p w14:paraId="126D2571" w14:textId="77777777" w:rsidR="0079621A" w:rsidRPr="008325B3" w:rsidRDefault="0079621A" w:rsidP="00E36D10">
            <w:pPr>
              <w:jc w:val="center"/>
              <w:rPr>
                <w:rFonts w:cs="Times New Roman"/>
                <w:b/>
                <w:bCs/>
                <w:sz w:val="20"/>
                <w:szCs w:val="20"/>
              </w:rPr>
            </w:pPr>
          </w:p>
        </w:tc>
        <w:tc>
          <w:tcPr>
            <w:tcW w:w="2131" w:type="dxa"/>
          </w:tcPr>
          <w:p w14:paraId="00420D16" w14:textId="06A02C04" w:rsidR="0079621A" w:rsidRPr="008325B3" w:rsidRDefault="0079621A" w:rsidP="00E36D10">
            <w:pPr>
              <w:jc w:val="center"/>
              <w:rPr>
                <w:rFonts w:cs="Times New Roman"/>
                <w:b/>
                <w:bCs/>
                <w:sz w:val="20"/>
                <w:szCs w:val="20"/>
              </w:rPr>
            </w:pPr>
            <w:r w:rsidRPr="008325B3">
              <w:rPr>
                <w:rFonts w:cs="Times New Roman"/>
                <w:b/>
                <w:bCs/>
                <w:sz w:val="20"/>
                <w:szCs w:val="20"/>
              </w:rPr>
              <w:t>Sędzia SA we Wrocławiu z up. Prezesa SA we Wrocławiu</w:t>
            </w:r>
            <w:r w:rsidRPr="008325B3">
              <w:rPr>
                <w:rFonts w:cs="Times New Roman"/>
                <w:sz w:val="20"/>
                <w:szCs w:val="20"/>
              </w:rPr>
              <w:t xml:space="preserve"> – Odział  Informatyczny SA we Wrocławiu</w:t>
            </w:r>
          </w:p>
        </w:tc>
        <w:tc>
          <w:tcPr>
            <w:tcW w:w="4962" w:type="dxa"/>
          </w:tcPr>
          <w:p w14:paraId="29DDA52E" w14:textId="77777777" w:rsidR="0079621A" w:rsidRPr="008325B3" w:rsidRDefault="0079621A" w:rsidP="0079621A">
            <w:pPr>
              <w:autoSpaceDE w:val="0"/>
              <w:autoSpaceDN w:val="0"/>
              <w:adjustRightInd w:val="0"/>
              <w:jc w:val="both"/>
              <w:rPr>
                <w:rFonts w:cs="Times New Roman"/>
                <w:sz w:val="20"/>
                <w:szCs w:val="20"/>
              </w:rPr>
            </w:pPr>
            <w:r w:rsidRPr="008325B3">
              <w:rPr>
                <w:rFonts w:cs="Times New Roman"/>
                <w:sz w:val="20"/>
                <w:szCs w:val="20"/>
              </w:rPr>
              <w:t xml:space="preserve">Z uwagi na treść uchwały SN z dnia 20 października 2023 r., sygn. akt III CZP 24/23 i stosowane przez sądy różne praktyki proj. rozporządzenie powinno określić w jaki sposób liczyć datę doręczenia, tj.: </w:t>
            </w:r>
          </w:p>
          <w:p w14:paraId="37168E35" w14:textId="77777777" w:rsidR="0079621A" w:rsidRPr="008325B3" w:rsidRDefault="0079621A" w:rsidP="0079621A">
            <w:pPr>
              <w:autoSpaceDE w:val="0"/>
              <w:autoSpaceDN w:val="0"/>
              <w:adjustRightInd w:val="0"/>
              <w:jc w:val="both"/>
              <w:rPr>
                <w:rFonts w:cs="Times New Roman"/>
                <w:sz w:val="20"/>
                <w:szCs w:val="20"/>
              </w:rPr>
            </w:pPr>
            <w:r w:rsidRPr="008325B3">
              <w:rPr>
                <w:rFonts w:cs="Times New Roman"/>
                <w:sz w:val="20"/>
                <w:szCs w:val="20"/>
              </w:rPr>
              <w:t>- czy jest to 14 dzień czy 15 dzień?</w:t>
            </w:r>
          </w:p>
          <w:p w14:paraId="775A5F71" w14:textId="77777777" w:rsidR="0079621A" w:rsidRPr="008325B3" w:rsidRDefault="0079621A" w:rsidP="0079621A">
            <w:pPr>
              <w:autoSpaceDE w:val="0"/>
              <w:autoSpaceDN w:val="0"/>
              <w:adjustRightInd w:val="0"/>
              <w:jc w:val="both"/>
              <w:rPr>
                <w:rFonts w:cs="Times New Roman"/>
                <w:sz w:val="20"/>
                <w:szCs w:val="20"/>
              </w:rPr>
            </w:pPr>
            <w:r w:rsidRPr="008325B3">
              <w:rPr>
                <w:rFonts w:cs="Times New Roman"/>
                <w:sz w:val="20"/>
                <w:szCs w:val="20"/>
              </w:rPr>
              <w:t>- i co w sytuacji, gdy ostatni dzień na odbiór pisma przypada na dzień wolny od pracy?</w:t>
            </w:r>
          </w:p>
          <w:p w14:paraId="610C6A3C" w14:textId="2BB3539D" w:rsidR="0079621A" w:rsidRPr="008325B3" w:rsidRDefault="0079621A" w:rsidP="0079621A">
            <w:pPr>
              <w:autoSpaceDE w:val="0"/>
              <w:autoSpaceDN w:val="0"/>
              <w:adjustRightInd w:val="0"/>
              <w:jc w:val="both"/>
              <w:rPr>
                <w:rFonts w:cs="Times New Roman"/>
                <w:sz w:val="20"/>
                <w:szCs w:val="20"/>
              </w:rPr>
            </w:pPr>
            <w:r w:rsidRPr="008325B3">
              <w:rPr>
                <w:rFonts w:cs="Times New Roman"/>
                <w:sz w:val="20"/>
                <w:szCs w:val="20"/>
              </w:rPr>
              <w:t xml:space="preserve">Zgodnie z proj. § 4 ust. 3, EPOK ma wskazywać </w:t>
            </w:r>
            <w:r w:rsidRPr="008325B3">
              <w:rPr>
                <w:rFonts w:cs="Times New Roman"/>
                <w:i/>
                <w:iCs/>
                <w:sz w:val="20"/>
                <w:szCs w:val="20"/>
              </w:rPr>
              <w:t>„informację, że pismo uznano za doręczone w trybie art. 131</w:t>
            </w:r>
            <w:r w:rsidRPr="008325B3">
              <w:rPr>
                <w:rFonts w:cs="Times New Roman"/>
                <w:i/>
                <w:iCs/>
                <w:sz w:val="20"/>
                <w:szCs w:val="20"/>
                <w:vertAlign w:val="superscript"/>
              </w:rPr>
              <w:t>1a</w:t>
            </w:r>
            <w:r w:rsidRPr="008325B3">
              <w:rPr>
                <w:rFonts w:cs="Times New Roman"/>
                <w:i/>
                <w:iCs/>
                <w:sz w:val="20"/>
                <w:szCs w:val="20"/>
              </w:rPr>
              <w:t xml:space="preserve"> § 2 k.p.c., informację o czasie umieszczenia pisma w PI razem z oznaczeniem doręczonego pisma”.</w:t>
            </w:r>
            <w:r w:rsidRPr="008325B3">
              <w:rPr>
                <w:rFonts w:cs="Times New Roman"/>
                <w:sz w:val="20"/>
                <w:szCs w:val="20"/>
              </w:rPr>
              <w:t xml:space="preserve"> Bez szczegółowych regulacji w rozporządzeniu nie ma możliwości zlecenia modyfikacji Wykonawcy utrzymującemu system PI, co do elementów składowych EPOK. </w:t>
            </w:r>
          </w:p>
          <w:p w14:paraId="34546720" w14:textId="77777777" w:rsidR="0079621A" w:rsidRPr="008325B3" w:rsidRDefault="0079621A" w:rsidP="0079621A">
            <w:pPr>
              <w:autoSpaceDE w:val="0"/>
              <w:autoSpaceDN w:val="0"/>
              <w:adjustRightInd w:val="0"/>
              <w:jc w:val="both"/>
              <w:rPr>
                <w:rFonts w:cs="Times New Roman"/>
                <w:sz w:val="20"/>
                <w:szCs w:val="20"/>
              </w:rPr>
            </w:pPr>
            <w:r w:rsidRPr="008325B3">
              <w:rPr>
                <w:rFonts w:cs="Times New Roman"/>
                <w:sz w:val="20"/>
                <w:szCs w:val="20"/>
              </w:rPr>
              <w:t xml:space="preserve">W związku z powyższym prośba o jednoznaczne stanowisko, jak należy liczyć datę doręczenia w przypadku upływu 14-dniowego terminu. </w:t>
            </w:r>
          </w:p>
          <w:p w14:paraId="00FCBED7" w14:textId="77777777" w:rsidR="0079621A" w:rsidRPr="008325B3" w:rsidRDefault="0079621A" w:rsidP="00D567C8">
            <w:pPr>
              <w:pStyle w:val="Default"/>
              <w:jc w:val="both"/>
              <w:rPr>
                <w:rFonts w:ascii="Times New Roman" w:hAnsi="Times New Roman" w:cs="Times New Roman"/>
                <w:color w:val="auto"/>
                <w:sz w:val="20"/>
                <w:szCs w:val="20"/>
              </w:rPr>
            </w:pPr>
          </w:p>
        </w:tc>
        <w:tc>
          <w:tcPr>
            <w:tcW w:w="4816" w:type="dxa"/>
          </w:tcPr>
          <w:p w14:paraId="7B31FA45" w14:textId="2E26DE11" w:rsidR="00BF07AF" w:rsidRPr="008325B3" w:rsidRDefault="00BF07AF" w:rsidP="00D66757">
            <w:pPr>
              <w:pStyle w:val="Bezodstpw"/>
              <w:rPr>
                <w:b/>
                <w:bCs/>
                <w:sz w:val="20"/>
                <w:szCs w:val="20"/>
              </w:rPr>
            </w:pPr>
            <w:r w:rsidRPr="008325B3">
              <w:rPr>
                <w:rFonts w:cs="Times New Roman"/>
                <w:b/>
                <w:bCs/>
                <w:sz w:val="20"/>
                <w:szCs w:val="20"/>
              </w:rPr>
              <w:lastRenderedPageBreak/>
              <w:t>Uwaga uwzględniona.</w:t>
            </w:r>
          </w:p>
        </w:tc>
      </w:tr>
      <w:tr w:rsidR="009B1E71" w:rsidRPr="008325B3" w14:paraId="590C8F26" w14:textId="77777777" w:rsidTr="00F0600D">
        <w:trPr>
          <w:trHeight w:val="812"/>
        </w:trPr>
        <w:tc>
          <w:tcPr>
            <w:tcW w:w="834" w:type="dxa"/>
          </w:tcPr>
          <w:p w14:paraId="472A6592" w14:textId="4D89F262" w:rsidR="009B1E71" w:rsidRPr="008325B3" w:rsidRDefault="00974159" w:rsidP="00E36D10">
            <w:pPr>
              <w:tabs>
                <w:tab w:val="left" w:pos="360"/>
              </w:tabs>
              <w:jc w:val="center"/>
              <w:rPr>
                <w:rFonts w:cs="Times New Roman"/>
                <w:sz w:val="20"/>
                <w:szCs w:val="20"/>
              </w:rPr>
            </w:pPr>
            <w:r w:rsidRPr="008325B3">
              <w:rPr>
                <w:rFonts w:cs="Times New Roman"/>
                <w:sz w:val="20"/>
                <w:szCs w:val="20"/>
              </w:rPr>
              <w:t>12</w:t>
            </w:r>
          </w:p>
        </w:tc>
        <w:tc>
          <w:tcPr>
            <w:tcW w:w="1566" w:type="dxa"/>
          </w:tcPr>
          <w:p w14:paraId="078D3C16" w14:textId="28FAAEEE" w:rsidR="003939EA" w:rsidRPr="008325B3" w:rsidRDefault="003939EA" w:rsidP="00E36D10">
            <w:pPr>
              <w:jc w:val="center"/>
              <w:rPr>
                <w:rFonts w:cs="Times New Roman"/>
                <w:b/>
                <w:bCs/>
                <w:sz w:val="20"/>
                <w:szCs w:val="20"/>
              </w:rPr>
            </w:pPr>
            <w:r w:rsidRPr="008325B3">
              <w:rPr>
                <w:rFonts w:cs="Times New Roman"/>
                <w:b/>
                <w:bCs/>
                <w:sz w:val="20"/>
                <w:szCs w:val="20"/>
              </w:rPr>
              <w:t>§ 4 w zw.</w:t>
            </w:r>
          </w:p>
          <w:p w14:paraId="40876EE0" w14:textId="5046D489" w:rsidR="009B1E71" w:rsidRPr="008325B3" w:rsidRDefault="003939EA" w:rsidP="00E36D10">
            <w:pPr>
              <w:autoSpaceDE w:val="0"/>
              <w:autoSpaceDN w:val="0"/>
              <w:adjustRightInd w:val="0"/>
              <w:jc w:val="center"/>
              <w:rPr>
                <w:rFonts w:cs="Times New Roman"/>
                <w:b/>
                <w:bCs/>
                <w:sz w:val="20"/>
                <w:szCs w:val="20"/>
              </w:rPr>
            </w:pPr>
            <w:r w:rsidRPr="008325B3">
              <w:rPr>
                <w:rFonts w:cs="Times New Roman"/>
                <w:b/>
                <w:bCs/>
                <w:sz w:val="20"/>
                <w:szCs w:val="20"/>
              </w:rPr>
              <w:t>z § 2 projektu</w:t>
            </w:r>
          </w:p>
        </w:tc>
        <w:tc>
          <w:tcPr>
            <w:tcW w:w="2131" w:type="dxa"/>
          </w:tcPr>
          <w:p w14:paraId="26B5633D" w14:textId="65E782F9" w:rsidR="009B1E71" w:rsidRPr="008325B3" w:rsidRDefault="003939EA" w:rsidP="00E36D10">
            <w:pPr>
              <w:jc w:val="center"/>
              <w:rPr>
                <w:rFonts w:cs="Times New Roman"/>
                <w:b/>
                <w:bCs/>
                <w:sz w:val="20"/>
                <w:szCs w:val="20"/>
              </w:rPr>
            </w:pPr>
            <w:r w:rsidRPr="008325B3">
              <w:rPr>
                <w:rFonts w:cs="Times New Roman"/>
                <w:b/>
                <w:bCs/>
                <w:sz w:val="20"/>
                <w:szCs w:val="20"/>
              </w:rPr>
              <w:t>Prezes PGRP</w:t>
            </w:r>
          </w:p>
        </w:tc>
        <w:tc>
          <w:tcPr>
            <w:tcW w:w="4962" w:type="dxa"/>
          </w:tcPr>
          <w:p w14:paraId="5C664538" w14:textId="77777777" w:rsidR="003939EA" w:rsidRPr="008325B3" w:rsidRDefault="003939EA" w:rsidP="003939EA">
            <w:pPr>
              <w:jc w:val="both"/>
              <w:rPr>
                <w:rFonts w:cs="Times New Roman"/>
                <w:sz w:val="20"/>
                <w:szCs w:val="20"/>
              </w:rPr>
            </w:pPr>
            <w:r w:rsidRPr="008325B3">
              <w:rPr>
                <w:rFonts w:cs="Times New Roman"/>
                <w:sz w:val="20"/>
                <w:szCs w:val="20"/>
              </w:rPr>
              <w:t xml:space="preserve">W proj. brak jest określenia trybu i sposobu uzyskania przez odbiorcę pisma sądowego dokumentu potwierdzającego jego doręczenie. Projekt przewiduje w tym zakresie jedynie powtórzenie ustawy (§ 2 pkt 4 projektu), a także </w:t>
            </w:r>
            <w:r w:rsidRPr="008325B3">
              <w:rPr>
                <w:rFonts w:cs="Times New Roman"/>
                <w:i/>
                <w:iCs/>
                <w:sz w:val="20"/>
                <w:szCs w:val="20"/>
              </w:rPr>
              <w:t>„prezentację daty odbioru”</w:t>
            </w:r>
            <w:r w:rsidRPr="008325B3">
              <w:rPr>
                <w:rFonts w:cs="Times New Roman"/>
                <w:sz w:val="20"/>
                <w:szCs w:val="20"/>
              </w:rPr>
              <w:t xml:space="preserve"> bez określenia trybu i sposobu tej prezentacji (§ 4 ust. 1 projektu) oraz automatyczne przekazanie EPOK jedynie do sądu z pominięciem użytkownika konta (§ 4 ust. 2 projektu). W proj. w żaden sposób nie określa się, w jakim trybie i w jaki sposób taki dokument ma uzyskać odbiorca, co jest jedną z kluczowych gwarancji procesowych.</w:t>
            </w:r>
          </w:p>
          <w:p w14:paraId="17ACE92A" w14:textId="77777777" w:rsidR="009B1E71" w:rsidRPr="008325B3" w:rsidRDefault="009B1E71" w:rsidP="0079621A">
            <w:pPr>
              <w:autoSpaceDE w:val="0"/>
              <w:autoSpaceDN w:val="0"/>
              <w:adjustRightInd w:val="0"/>
              <w:jc w:val="both"/>
              <w:rPr>
                <w:rFonts w:cs="Times New Roman"/>
                <w:sz w:val="20"/>
                <w:szCs w:val="20"/>
              </w:rPr>
            </w:pPr>
          </w:p>
        </w:tc>
        <w:tc>
          <w:tcPr>
            <w:tcW w:w="4816" w:type="dxa"/>
          </w:tcPr>
          <w:p w14:paraId="5F79A71B" w14:textId="6923A6B0" w:rsidR="009B1E71" w:rsidRPr="008325B3" w:rsidRDefault="000A65CD" w:rsidP="001D61D2">
            <w:pPr>
              <w:jc w:val="both"/>
              <w:rPr>
                <w:rFonts w:cs="Times New Roman"/>
                <w:sz w:val="20"/>
                <w:szCs w:val="20"/>
              </w:rPr>
            </w:pPr>
            <w:r w:rsidRPr="008325B3">
              <w:rPr>
                <w:rFonts w:cs="Times New Roman"/>
                <w:b/>
                <w:bCs/>
                <w:sz w:val="20"/>
                <w:szCs w:val="20"/>
              </w:rPr>
              <w:t>Uwaga uwzględniona</w:t>
            </w:r>
            <w:r w:rsidRPr="008325B3">
              <w:rPr>
                <w:rFonts w:cs="Times New Roman"/>
                <w:sz w:val="20"/>
                <w:szCs w:val="20"/>
              </w:rPr>
              <w:t xml:space="preserve"> –</w:t>
            </w:r>
            <w:r w:rsidR="002B1673" w:rsidRPr="008325B3">
              <w:rPr>
                <w:rFonts w:cs="Times New Roman"/>
                <w:sz w:val="20"/>
                <w:szCs w:val="20"/>
              </w:rPr>
              <w:t xml:space="preserve"> </w:t>
            </w:r>
            <w:bookmarkStart w:id="0" w:name="_Hlk157769480"/>
            <w:r w:rsidR="002B1673" w:rsidRPr="008325B3">
              <w:rPr>
                <w:rFonts w:cs="Times New Roman"/>
                <w:sz w:val="20"/>
                <w:szCs w:val="20"/>
              </w:rPr>
              <w:t xml:space="preserve">w § 4 ust. 2 wskazano, że EPOK jest umieszczane w portalu informacyjnym, </w:t>
            </w:r>
            <w:r w:rsidR="00865198" w:rsidRPr="008325B3">
              <w:rPr>
                <w:rFonts w:cs="Times New Roman"/>
                <w:sz w:val="20"/>
                <w:szCs w:val="20"/>
              </w:rPr>
              <w:t>dzięki temu</w:t>
            </w:r>
            <w:r w:rsidR="002B1673" w:rsidRPr="008325B3">
              <w:rPr>
                <w:rFonts w:cs="Times New Roman"/>
                <w:sz w:val="20"/>
                <w:szCs w:val="20"/>
              </w:rPr>
              <w:t xml:space="preserve">, odbiorca będzie mógł uzyskać dokument potwierdzający doręczenie pisma. </w:t>
            </w:r>
            <w:bookmarkEnd w:id="0"/>
          </w:p>
        </w:tc>
      </w:tr>
      <w:tr w:rsidR="007431FB" w:rsidRPr="008325B3" w14:paraId="256B46C5" w14:textId="77777777" w:rsidTr="00F0600D">
        <w:trPr>
          <w:trHeight w:val="812"/>
        </w:trPr>
        <w:tc>
          <w:tcPr>
            <w:tcW w:w="834" w:type="dxa"/>
          </w:tcPr>
          <w:p w14:paraId="5447B1BB" w14:textId="5275FBD3" w:rsidR="007431FB" w:rsidRPr="008325B3" w:rsidRDefault="00974159" w:rsidP="00E36D10">
            <w:pPr>
              <w:tabs>
                <w:tab w:val="left" w:pos="360"/>
              </w:tabs>
              <w:jc w:val="center"/>
              <w:rPr>
                <w:rFonts w:cs="Times New Roman"/>
                <w:sz w:val="20"/>
                <w:szCs w:val="20"/>
              </w:rPr>
            </w:pPr>
            <w:r w:rsidRPr="008325B3">
              <w:rPr>
                <w:rFonts w:cs="Times New Roman"/>
                <w:sz w:val="20"/>
                <w:szCs w:val="20"/>
              </w:rPr>
              <w:t>13</w:t>
            </w:r>
          </w:p>
        </w:tc>
        <w:tc>
          <w:tcPr>
            <w:tcW w:w="1566" w:type="dxa"/>
          </w:tcPr>
          <w:p w14:paraId="6D3FDA6D" w14:textId="77777777" w:rsidR="007431FB" w:rsidRPr="008325B3" w:rsidRDefault="007431FB" w:rsidP="00E36D10">
            <w:pPr>
              <w:autoSpaceDE w:val="0"/>
              <w:autoSpaceDN w:val="0"/>
              <w:adjustRightInd w:val="0"/>
              <w:jc w:val="center"/>
              <w:rPr>
                <w:rFonts w:cs="Times New Roman"/>
                <w:b/>
                <w:bCs/>
                <w:sz w:val="20"/>
                <w:szCs w:val="20"/>
              </w:rPr>
            </w:pPr>
            <w:r w:rsidRPr="008325B3">
              <w:rPr>
                <w:rFonts w:cs="Times New Roman"/>
                <w:b/>
                <w:bCs/>
                <w:sz w:val="20"/>
                <w:szCs w:val="20"/>
              </w:rPr>
              <w:t>§ 4 ust. 3 projektu</w:t>
            </w:r>
          </w:p>
          <w:p w14:paraId="5D7A4845" w14:textId="77777777" w:rsidR="007431FB" w:rsidRPr="008325B3" w:rsidRDefault="007431FB" w:rsidP="00E36D10">
            <w:pPr>
              <w:jc w:val="center"/>
              <w:rPr>
                <w:rFonts w:cs="Times New Roman"/>
                <w:b/>
                <w:bCs/>
                <w:sz w:val="20"/>
                <w:szCs w:val="20"/>
              </w:rPr>
            </w:pPr>
          </w:p>
        </w:tc>
        <w:tc>
          <w:tcPr>
            <w:tcW w:w="2131" w:type="dxa"/>
          </w:tcPr>
          <w:p w14:paraId="5C77E3FB" w14:textId="77777777" w:rsidR="007431FB" w:rsidRPr="008325B3" w:rsidRDefault="007431FB" w:rsidP="00E36D10">
            <w:pPr>
              <w:jc w:val="center"/>
              <w:rPr>
                <w:rFonts w:cs="Times New Roman"/>
                <w:sz w:val="20"/>
                <w:szCs w:val="20"/>
              </w:rPr>
            </w:pPr>
            <w:r w:rsidRPr="008325B3">
              <w:rPr>
                <w:rFonts w:cs="Times New Roman"/>
                <w:b/>
                <w:bCs/>
                <w:sz w:val="20"/>
                <w:szCs w:val="20"/>
              </w:rPr>
              <w:t>Sędzia SA we Wrocławiu z up. Prezesa SA we Wrocławiu</w:t>
            </w:r>
            <w:r w:rsidRPr="008325B3">
              <w:rPr>
                <w:rFonts w:cs="Times New Roman"/>
                <w:sz w:val="20"/>
                <w:szCs w:val="20"/>
              </w:rPr>
              <w:t xml:space="preserve"> – Odział  Informatyczny SA we Wrocławiu</w:t>
            </w:r>
          </w:p>
          <w:p w14:paraId="37336A24" w14:textId="77777777" w:rsidR="007431FB" w:rsidRPr="008325B3" w:rsidRDefault="007431FB" w:rsidP="00E36D10">
            <w:pPr>
              <w:jc w:val="center"/>
              <w:rPr>
                <w:rFonts w:cs="Times New Roman"/>
                <w:b/>
                <w:bCs/>
                <w:sz w:val="20"/>
                <w:szCs w:val="20"/>
              </w:rPr>
            </w:pPr>
          </w:p>
        </w:tc>
        <w:tc>
          <w:tcPr>
            <w:tcW w:w="4962" w:type="dxa"/>
          </w:tcPr>
          <w:p w14:paraId="7485C52F" w14:textId="77777777" w:rsidR="007431FB" w:rsidRPr="008325B3" w:rsidRDefault="007431FB" w:rsidP="007431FB">
            <w:pPr>
              <w:autoSpaceDE w:val="0"/>
              <w:autoSpaceDN w:val="0"/>
              <w:adjustRightInd w:val="0"/>
              <w:jc w:val="both"/>
              <w:rPr>
                <w:rFonts w:cs="Times New Roman"/>
                <w:sz w:val="20"/>
                <w:szCs w:val="20"/>
              </w:rPr>
            </w:pPr>
            <w:r w:rsidRPr="008325B3">
              <w:rPr>
                <w:rFonts w:cs="Times New Roman"/>
                <w:sz w:val="20"/>
                <w:szCs w:val="20"/>
              </w:rPr>
              <w:t xml:space="preserve">Obecnie EPOK generuje więcej informacji niż zawarte są w projekcie. W związku z czym proponuje się dodać </w:t>
            </w:r>
            <w:r w:rsidRPr="008325B3">
              <w:rPr>
                <w:rFonts w:cs="Times New Roman"/>
                <w:i/>
                <w:iCs/>
                <w:sz w:val="20"/>
                <w:szCs w:val="20"/>
              </w:rPr>
              <w:t>„w szczególności”.</w:t>
            </w:r>
          </w:p>
          <w:p w14:paraId="4A7BB035" w14:textId="77777777" w:rsidR="007431FB" w:rsidRPr="008325B3" w:rsidRDefault="007431FB" w:rsidP="003939EA">
            <w:pPr>
              <w:jc w:val="both"/>
              <w:rPr>
                <w:rFonts w:cs="Times New Roman"/>
                <w:sz w:val="20"/>
                <w:szCs w:val="20"/>
              </w:rPr>
            </w:pPr>
          </w:p>
        </w:tc>
        <w:tc>
          <w:tcPr>
            <w:tcW w:w="4816" w:type="dxa"/>
          </w:tcPr>
          <w:p w14:paraId="0623C5E3" w14:textId="0795C5D0" w:rsidR="00BF07AF" w:rsidRPr="008325B3" w:rsidRDefault="00BF07AF" w:rsidP="00D66757">
            <w:pPr>
              <w:pStyle w:val="Bezodstpw"/>
              <w:rPr>
                <w:b/>
                <w:bCs/>
              </w:rPr>
            </w:pPr>
            <w:r w:rsidRPr="008325B3">
              <w:rPr>
                <w:rFonts w:cs="Times New Roman"/>
                <w:b/>
                <w:bCs/>
                <w:sz w:val="20"/>
                <w:szCs w:val="20"/>
              </w:rPr>
              <w:t>Uwaga uwzględniona.</w:t>
            </w:r>
          </w:p>
        </w:tc>
      </w:tr>
      <w:tr w:rsidR="004D4B17" w:rsidRPr="008325B3" w14:paraId="0EE18A58" w14:textId="77777777" w:rsidTr="00F0600D">
        <w:trPr>
          <w:trHeight w:val="812"/>
        </w:trPr>
        <w:tc>
          <w:tcPr>
            <w:tcW w:w="834" w:type="dxa"/>
          </w:tcPr>
          <w:p w14:paraId="387DCD4C" w14:textId="32A39776" w:rsidR="004D4B17" w:rsidRPr="008325B3" w:rsidRDefault="00974159" w:rsidP="00E36D10">
            <w:pPr>
              <w:tabs>
                <w:tab w:val="left" w:pos="360"/>
              </w:tabs>
              <w:jc w:val="center"/>
              <w:rPr>
                <w:rFonts w:cs="Times New Roman"/>
                <w:sz w:val="20"/>
                <w:szCs w:val="20"/>
              </w:rPr>
            </w:pPr>
            <w:r w:rsidRPr="008325B3">
              <w:rPr>
                <w:rFonts w:cs="Times New Roman"/>
                <w:sz w:val="20"/>
                <w:szCs w:val="20"/>
              </w:rPr>
              <w:t>14</w:t>
            </w:r>
          </w:p>
        </w:tc>
        <w:tc>
          <w:tcPr>
            <w:tcW w:w="1566" w:type="dxa"/>
          </w:tcPr>
          <w:p w14:paraId="4D399D6C" w14:textId="5195E7E3" w:rsidR="004D4B17" w:rsidRPr="008325B3" w:rsidRDefault="004D4B17" w:rsidP="00E36D10">
            <w:pPr>
              <w:jc w:val="center"/>
              <w:rPr>
                <w:rFonts w:cs="Times New Roman"/>
                <w:b/>
                <w:bCs/>
                <w:sz w:val="20"/>
                <w:szCs w:val="20"/>
              </w:rPr>
            </w:pPr>
            <w:r w:rsidRPr="008325B3">
              <w:rPr>
                <w:rFonts w:cs="Times New Roman"/>
                <w:b/>
                <w:bCs/>
                <w:sz w:val="20"/>
                <w:szCs w:val="20"/>
              </w:rPr>
              <w:t>§ 6 projektu</w:t>
            </w:r>
          </w:p>
        </w:tc>
        <w:tc>
          <w:tcPr>
            <w:tcW w:w="2131" w:type="dxa"/>
          </w:tcPr>
          <w:p w14:paraId="2E794464" w14:textId="3415B4FB" w:rsidR="004D4B17" w:rsidRPr="008325B3" w:rsidRDefault="004D4B17" w:rsidP="00E36D10">
            <w:pPr>
              <w:jc w:val="center"/>
              <w:rPr>
                <w:rFonts w:cs="Times New Roman"/>
                <w:b/>
                <w:bCs/>
                <w:sz w:val="20"/>
                <w:szCs w:val="20"/>
              </w:rPr>
            </w:pPr>
            <w:r w:rsidRPr="008325B3">
              <w:rPr>
                <w:rFonts w:cs="Times New Roman"/>
                <w:b/>
                <w:bCs/>
                <w:sz w:val="20"/>
                <w:szCs w:val="20"/>
              </w:rPr>
              <w:t>Prokurator Krajowy</w:t>
            </w:r>
          </w:p>
          <w:p w14:paraId="365916A5" w14:textId="77777777" w:rsidR="004D4B17" w:rsidRPr="008325B3" w:rsidRDefault="004D4B17" w:rsidP="00E36D10">
            <w:pPr>
              <w:jc w:val="center"/>
              <w:rPr>
                <w:rFonts w:cs="Times New Roman"/>
                <w:b/>
                <w:bCs/>
                <w:sz w:val="20"/>
                <w:szCs w:val="20"/>
              </w:rPr>
            </w:pPr>
          </w:p>
        </w:tc>
        <w:tc>
          <w:tcPr>
            <w:tcW w:w="4962" w:type="dxa"/>
          </w:tcPr>
          <w:p w14:paraId="7D8506B7" w14:textId="77777777" w:rsidR="004D4B17" w:rsidRPr="008325B3" w:rsidRDefault="004D4B17" w:rsidP="004D4B17">
            <w:pPr>
              <w:jc w:val="both"/>
              <w:rPr>
                <w:rFonts w:cs="Times New Roman"/>
                <w:sz w:val="20"/>
                <w:szCs w:val="20"/>
              </w:rPr>
            </w:pPr>
            <w:bookmarkStart w:id="1" w:name="_Hlk157678239"/>
            <w:r w:rsidRPr="008325B3">
              <w:rPr>
                <w:rFonts w:cs="Times New Roman"/>
                <w:sz w:val="20"/>
                <w:szCs w:val="20"/>
              </w:rPr>
              <w:t xml:space="preserve">W żadnym z proj. przepisów rozporządzenia, nie zawarto definicji </w:t>
            </w:r>
            <w:r w:rsidRPr="008325B3">
              <w:rPr>
                <w:rFonts w:cs="Times New Roman"/>
                <w:i/>
                <w:iCs/>
                <w:sz w:val="20"/>
                <w:szCs w:val="20"/>
              </w:rPr>
              <w:t>„kont instytucjonalnych”.</w:t>
            </w:r>
            <w:r w:rsidRPr="008325B3">
              <w:rPr>
                <w:rFonts w:cs="Times New Roman"/>
                <w:sz w:val="20"/>
                <w:szCs w:val="20"/>
              </w:rPr>
              <w:t xml:space="preserve"> Nie jest zatem jasne, czy owo </w:t>
            </w:r>
            <w:r w:rsidRPr="008325B3">
              <w:rPr>
                <w:rFonts w:cs="Times New Roman"/>
                <w:i/>
                <w:iCs/>
                <w:sz w:val="20"/>
                <w:szCs w:val="20"/>
              </w:rPr>
              <w:t>„konto instytucjonalne”</w:t>
            </w:r>
            <w:r w:rsidRPr="008325B3">
              <w:rPr>
                <w:rFonts w:cs="Times New Roman"/>
                <w:sz w:val="20"/>
                <w:szCs w:val="20"/>
              </w:rPr>
              <w:t xml:space="preserve"> tworzone będzie dla każdej z powszechnych jednostek organizacyjnych prokuratury, czy ogólnie dla prokuratury jako podmiotu. </w:t>
            </w:r>
          </w:p>
          <w:p w14:paraId="735F95E2" w14:textId="77777777" w:rsidR="004D4B17" w:rsidRPr="008325B3" w:rsidRDefault="004D4B17" w:rsidP="004D4B17">
            <w:pPr>
              <w:jc w:val="both"/>
              <w:rPr>
                <w:rFonts w:cs="Times New Roman"/>
                <w:sz w:val="20"/>
                <w:szCs w:val="20"/>
              </w:rPr>
            </w:pPr>
            <w:r w:rsidRPr="008325B3">
              <w:rPr>
                <w:rFonts w:cs="Times New Roman"/>
                <w:sz w:val="20"/>
                <w:szCs w:val="20"/>
              </w:rPr>
              <w:t xml:space="preserve">MS działając na podstawie art. 21a pkt 1 KRK, </w:t>
            </w:r>
            <w:r w:rsidRPr="008325B3">
              <w:rPr>
                <w:rFonts w:cs="Times New Roman"/>
                <w:i/>
                <w:iCs/>
                <w:sz w:val="20"/>
                <w:szCs w:val="20"/>
              </w:rPr>
              <w:t xml:space="preserve">MS w drodze rozporządzeni określa m.in. sposób zakładania konta użytkowania i </w:t>
            </w:r>
            <w:r w:rsidRPr="008325B3">
              <w:rPr>
                <w:rFonts w:cs="Times New Roman"/>
                <w:i/>
                <w:iCs/>
                <w:sz w:val="20"/>
                <w:szCs w:val="20"/>
                <w:u w:val="single"/>
              </w:rPr>
              <w:t>konta instytucjonalnego</w:t>
            </w:r>
            <w:r w:rsidRPr="008325B3">
              <w:rPr>
                <w:rFonts w:cs="Times New Roman"/>
                <w:i/>
                <w:iCs/>
                <w:sz w:val="20"/>
                <w:szCs w:val="20"/>
              </w:rPr>
              <w:t xml:space="preserve"> oraz sposób i tryb udzielania informacji o osobach i informacji o podmiotach zbiorowych, udzielanych na zapytanie lub wniosek za pośrednictwem systemu teleinformatycznego</w:t>
            </w:r>
            <w:r w:rsidRPr="008325B3">
              <w:rPr>
                <w:rFonts w:cs="Times New Roman"/>
                <w:sz w:val="20"/>
                <w:szCs w:val="20"/>
              </w:rPr>
              <w:t xml:space="preserve">. Natomiast zgodnie z § 2 pkt 5 rozporządzenia MS z dnia 12 kwietnia </w:t>
            </w:r>
            <w:bookmarkStart w:id="2" w:name="_Hlk157678249"/>
            <w:bookmarkEnd w:id="1"/>
            <w:r w:rsidRPr="008325B3">
              <w:rPr>
                <w:rFonts w:cs="Times New Roman"/>
                <w:sz w:val="20"/>
                <w:szCs w:val="20"/>
              </w:rPr>
              <w:lastRenderedPageBreak/>
              <w:t xml:space="preserve">2021 r. </w:t>
            </w:r>
            <w:r w:rsidRPr="008325B3">
              <w:rPr>
                <w:rFonts w:cs="Times New Roman"/>
                <w:i/>
                <w:iCs/>
                <w:sz w:val="20"/>
                <w:szCs w:val="20"/>
              </w:rPr>
              <w:t>w sprawie sposobu i trybu udzielania informacji o osobach oraz podmiotach zbiorowych z KRK, udzielanych za pośrednictwem systemu teleinformatycznego, sposobu zakładania konta użytkowania i konta instytucjonalnego dla informacji udzielanych na zapytanie lub wniosek oraz zakresu informacji o osobie lub o podmiocie zbiorowym udzielanej na żądanie</w:t>
            </w:r>
            <w:r w:rsidRPr="008325B3">
              <w:rPr>
                <w:rFonts w:cs="Times New Roman"/>
                <w:sz w:val="20"/>
                <w:szCs w:val="20"/>
              </w:rPr>
              <w:t xml:space="preserve"> (Dz. U. z 2021 r. poz. 728) pod pojęciem </w:t>
            </w:r>
            <w:r w:rsidRPr="008325B3">
              <w:rPr>
                <w:rFonts w:cs="Times New Roman"/>
                <w:sz w:val="20"/>
                <w:szCs w:val="20"/>
                <w:u w:val="single"/>
              </w:rPr>
              <w:t>konta instytucjonalnego</w:t>
            </w:r>
            <w:r w:rsidRPr="008325B3">
              <w:rPr>
                <w:rFonts w:cs="Times New Roman"/>
                <w:sz w:val="20"/>
                <w:szCs w:val="20"/>
              </w:rPr>
              <w:t xml:space="preserve"> rozumie się dane opisujące: </w:t>
            </w:r>
          </w:p>
          <w:p w14:paraId="35060599" w14:textId="77777777" w:rsidR="004D4B17" w:rsidRPr="008325B3" w:rsidRDefault="004D4B17" w:rsidP="004D4B17">
            <w:pPr>
              <w:pStyle w:val="Akapitzlist"/>
              <w:numPr>
                <w:ilvl w:val="0"/>
                <w:numId w:val="1"/>
              </w:numPr>
              <w:jc w:val="both"/>
              <w:rPr>
                <w:rFonts w:cs="Times New Roman"/>
                <w:sz w:val="20"/>
                <w:szCs w:val="20"/>
              </w:rPr>
            </w:pPr>
            <w:r w:rsidRPr="008325B3">
              <w:rPr>
                <w:rFonts w:cs="Times New Roman"/>
                <w:sz w:val="20"/>
                <w:szCs w:val="20"/>
              </w:rPr>
              <w:t>podmiot niebędący osobą fizyczną,</w:t>
            </w:r>
          </w:p>
          <w:p w14:paraId="43119A38" w14:textId="77777777" w:rsidR="004D4B17" w:rsidRPr="008325B3" w:rsidRDefault="004D4B17" w:rsidP="004D4B17">
            <w:pPr>
              <w:pStyle w:val="Akapitzlist"/>
              <w:numPr>
                <w:ilvl w:val="0"/>
                <w:numId w:val="1"/>
              </w:numPr>
              <w:jc w:val="both"/>
              <w:rPr>
                <w:rFonts w:cs="Times New Roman"/>
                <w:sz w:val="20"/>
                <w:szCs w:val="20"/>
              </w:rPr>
            </w:pPr>
            <w:r w:rsidRPr="008325B3">
              <w:rPr>
                <w:rFonts w:cs="Times New Roman"/>
                <w:sz w:val="20"/>
                <w:szCs w:val="20"/>
              </w:rPr>
              <w:t xml:space="preserve">osobę fizyczną uprawnioną do składania zapytań na podstawie art. 6 ust. 1 ustawy, </w:t>
            </w:r>
          </w:p>
          <w:p w14:paraId="155635CE" w14:textId="77777777" w:rsidR="004D4B17" w:rsidRPr="008325B3" w:rsidRDefault="004D4B17" w:rsidP="004D4B17">
            <w:pPr>
              <w:pStyle w:val="Akapitzlist"/>
              <w:numPr>
                <w:ilvl w:val="0"/>
                <w:numId w:val="1"/>
              </w:numPr>
              <w:jc w:val="both"/>
              <w:rPr>
                <w:rFonts w:cs="Times New Roman"/>
                <w:sz w:val="20"/>
                <w:szCs w:val="20"/>
              </w:rPr>
            </w:pPr>
            <w:r w:rsidRPr="008325B3">
              <w:rPr>
                <w:rFonts w:cs="Times New Roman"/>
                <w:sz w:val="20"/>
                <w:szCs w:val="20"/>
              </w:rPr>
              <w:t>użytkowników działających na tym koncie w imieniu podmiotu albo osoby, o których mowa w lit. a i b,</w:t>
            </w:r>
          </w:p>
          <w:p w14:paraId="275AE30C" w14:textId="77777777" w:rsidR="004D4B17" w:rsidRPr="008325B3" w:rsidRDefault="004D4B17" w:rsidP="004D4B17">
            <w:pPr>
              <w:ind w:left="360"/>
              <w:jc w:val="both"/>
              <w:rPr>
                <w:rFonts w:cs="Times New Roman"/>
                <w:sz w:val="20"/>
                <w:szCs w:val="20"/>
              </w:rPr>
            </w:pPr>
            <w:r w:rsidRPr="008325B3">
              <w:rPr>
                <w:rFonts w:cs="Times New Roman"/>
                <w:sz w:val="20"/>
                <w:szCs w:val="20"/>
              </w:rPr>
              <w:t>- wraz z zasobami sytemu teleinformatycznego przyporządkowanymi do tego podmiotu albo tej osoby.</w:t>
            </w:r>
          </w:p>
          <w:p w14:paraId="64C51A93" w14:textId="77777777" w:rsidR="004D4B17" w:rsidRPr="008325B3" w:rsidRDefault="004D4B17" w:rsidP="004D4B17">
            <w:pPr>
              <w:jc w:val="both"/>
              <w:rPr>
                <w:rFonts w:cs="Times New Roman"/>
                <w:sz w:val="20"/>
                <w:szCs w:val="20"/>
              </w:rPr>
            </w:pPr>
            <w:r w:rsidRPr="008325B3">
              <w:rPr>
                <w:rFonts w:cs="Times New Roman"/>
                <w:sz w:val="20"/>
                <w:szCs w:val="20"/>
              </w:rPr>
              <w:t xml:space="preserve">Powstaje zatem pytanie, czy definicja ta odnosi się do konta instytucjonalnego, o jakim mowa w projekcie, gdyż w nim samym brak jest stosownej definicji lub przynajmniej odniesienia się do innych, obowiązujących już regulacji. </w:t>
            </w:r>
          </w:p>
          <w:p w14:paraId="411510E9" w14:textId="77777777" w:rsidR="004D4B17" w:rsidRPr="008325B3" w:rsidRDefault="004D4B17" w:rsidP="004D4B17">
            <w:pPr>
              <w:jc w:val="both"/>
              <w:rPr>
                <w:rFonts w:cs="Times New Roman"/>
                <w:sz w:val="20"/>
                <w:szCs w:val="20"/>
              </w:rPr>
            </w:pPr>
            <w:r w:rsidRPr="008325B3">
              <w:rPr>
                <w:rFonts w:cs="Times New Roman"/>
                <w:sz w:val="20"/>
                <w:szCs w:val="20"/>
              </w:rPr>
              <w:t xml:space="preserve">Celowe jest zatem wskazanie w proj. rozporządzeniu, wprost, że </w:t>
            </w:r>
            <w:r w:rsidRPr="008325B3">
              <w:rPr>
                <w:rFonts w:cs="Times New Roman"/>
                <w:i/>
                <w:iCs/>
                <w:sz w:val="20"/>
                <w:szCs w:val="20"/>
              </w:rPr>
              <w:t>„kontem instytucjonalnym”,</w:t>
            </w:r>
            <w:r w:rsidRPr="008325B3">
              <w:rPr>
                <w:rFonts w:cs="Times New Roman"/>
                <w:sz w:val="20"/>
                <w:szCs w:val="20"/>
              </w:rPr>
              <w:t xml:space="preserve"> w przypadku powszechnych jednostek organizacyjnych prokuratury jest konto utworzone dla każdej z jednostek.</w:t>
            </w:r>
          </w:p>
          <w:bookmarkEnd w:id="2"/>
          <w:p w14:paraId="12C68CB0" w14:textId="789963B9" w:rsidR="007431FB" w:rsidRPr="008325B3" w:rsidRDefault="007431FB" w:rsidP="004D4B17">
            <w:pPr>
              <w:jc w:val="both"/>
              <w:rPr>
                <w:rFonts w:cs="Times New Roman"/>
                <w:sz w:val="20"/>
                <w:szCs w:val="20"/>
              </w:rPr>
            </w:pPr>
          </w:p>
        </w:tc>
        <w:tc>
          <w:tcPr>
            <w:tcW w:w="4816" w:type="dxa"/>
          </w:tcPr>
          <w:p w14:paraId="6610001F" w14:textId="017840E0" w:rsidR="004D4B17" w:rsidRPr="008325B3" w:rsidRDefault="00AE326D" w:rsidP="001D61D2">
            <w:pPr>
              <w:jc w:val="both"/>
              <w:rPr>
                <w:rFonts w:cs="Times New Roman"/>
                <w:b/>
                <w:bCs/>
                <w:strike/>
                <w:sz w:val="20"/>
                <w:szCs w:val="20"/>
              </w:rPr>
            </w:pPr>
            <w:r w:rsidRPr="008325B3">
              <w:rPr>
                <w:rStyle w:val="cf01"/>
                <w:rFonts w:ascii="Times New Roman" w:hAnsi="Times New Roman" w:cs="Times New Roman"/>
                <w:b/>
                <w:bCs/>
                <w:sz w:val="20"/>
                <w:szCs w:val="20"/>
              </w:rPr>
              <w:lastRenderedPageBreak/>
              <w:t>Zrezygnowano z treści zaproponowanej w § 6 projektu.</w:t>
            </w:r>
          </w:p>
        </w:tc>
      </w:tr>
      <w:tr w:rsidR="007431FB" w:rsidRPr="008325B3" w14:paraId="64BD3447" w14:textId="77777777" w:rsidTr="00F0600D">
        <w:trPr>
          <w:trHeight w:val="812"/>
        </w:trPr>
        <w:tc>
          <w:tcPr>
            <w:tcW w:w="834" w:type="dxa"/>
          </w:tcPr>
          <w:p w14:paraId="7165BE5B" w14:textId="306FDC03" w:rsidR="007431FB" w:rsidRPr="008325B3" w:rsidRDefault="00974159" w:rsidP="00E36D10">
            <w:pPr>
              <w:tabs>
                <w:tab w:val="left" w:pos="360"/>
              </w:tabs>
              <w:jc w:val="center"/>
              <w:rPr>
                <w:rFonts w:cs="Times New Roman"/>
                <w:sz w:val="20"/>
                <w:szCs w:val="20"/>
              </w:rPr>
            </w:pPr>
            <w:r w:rsidRPr="008325B3">
              <w:rPr>
                <w:rFonts w:cs="Times New Roman"/>
                <w:sz w:val="20"/>
                <w:szCs w:val="20"/>
              </w:rPr>
              <w:t>15</w:t>
            </w:r>
          </w:p>
        </w:tc>
        <w:tc>
          <w:tcPr>
            <w:tcW w:w="1566" w:type="dxa"/>
          </w:tcPr>
          <w:p w14:paraId="67449447" w14:textId="0FB0A089" w:rsidR="007431FB" w:rsidRPr="008325B3" w:rsidRDefault="007431FB" w:rsidP="00E36D10">
            <w:pPr>
              <w:jc w:val="center"/>
              <w:rPr>
                <w:rFonts w:cs="Times New Roman"/>
                <w:b/>
                <w:bCs/>
                <w:sz w:val="20"/>
                <w:szCs w:val="20"/>
              </w:rPr>
            </w:pPr>
            <w:r w:rsidRPr="008325B3">
              <w:rPr>
                <w:rFonts w:cs="Times New Roman"/>
                <w:b/>
                <w:bCs/>
                <w:sz w:val="20"/>
                <w:szCs w:val="20"/>
              </w:rPr>
              <w:t>§ 6 projektu</w:t>
            </w:r>
          </w:p>
        </w:tc>
        <w:tc>
          <w:tcPr>
            <w:tcW w:w="2131" w:type="dxa"/>
          </w:tcPr>
          <w:p w14:paraId="28447239" w14:textId="3FCCD6D4" w:rsidR="007431FB" w:rsidRPr="008325B3" w:rsidRDefault="007431FB" w:rsidP="00E36D10">
            <w:pPr>
              <w:jc w:val="center"/>
              <w:rPr>
                <w:rFonts w:cs="Times New Roman"/>
                <w:b/>
                <w:bCs/>
                <w:sz w:val="20"/>
                <w:szCs w:val="20"/>
              </w:rPr>
            </w:pPr>
            <w:r w:rsidRPr="008325B3">
              <w:rPr>
                <w:rFonts w:cs="Times New Roman"/>
                <w:b/>
                <w:bCs/>
                <w:sz w:val="20"/>
                <w:szCs w:val="20"/>
              </w:rPr>
              <w:t>Prokurator Krajowy</w:t>
            </w:r>
          </w:p>
          <w:p w14:paraId="4CF9654C" w14:textId="77777777" w:rsidR="007431FB" w:rsidRPr="008325B3" w:rsidRDefault="007431FB" w:rsidP="00E36D10">
            <w:pPr>
              <w:jc w:val="center"/>
              <w:rPr>
                <w:rFonts w:cs="Times New Roman"/>
                <w:b/>
                <w:bCs/>
                <w:sz w:val="20"/>
                <w:szCs w:val="20"/>
              </w:rPr>
            </w:pPr>
          </w:p>
        </w:tc>
        <w:tc>
          <w:tcPr>
            <w:tcW w:w="4962" w:type="dxa"/>
          </w:tcPr>
          <w:p w14:paraId="16AFF7F8" w14:textId="6C872438" w:rsidR="007431FB" w:rsidRPr="008325B3" w:rsidRDefault="007431FB" w:rsidP="008A2F18">
            <w:pPr>
              <w:jc w:val="both"/>
              <w:rPr>
                <w:rFonts w:cs="Times New Roman"/>
                <w:sz w:val="20"/>
                <w:szCs w:val="20"/>
              </w:rPr>
            </w:pPr>
            <w:bookmarkStart w:id="3" w:name="_Hlk157678262"/>
            <w:r w:rsidRPr="008325B3">
              <w:rPr>
                <w:rFonts w:cs="Times New Roman"/>
                <w:sz w:val="20"/>
                <w:szCs w:val="20"/>
              </w:rPr>
              <w:t xml:space="preserve">Z proj. przepisu nie wynika, czy np. odebranie pisma w PI przez kancelarię jednostki prokuratury obsługującej konto instytucjonalne prokuratury, traktowane będzie jako doręczenie tego pisma prokuratorowi, a tym samym skutkować będzie obowiązkiem po stornie pracownika sekretariatu przekazania takiej informacji prokuratorowi, czy też prokurator posiadający np. imiennego konto na PI będzie też powiadamiany o odebraniu takiego pisma przez </w:t>
            </w:r>
            <w:bookmarkStart w:id="4" w:name="_Hlk157678271"/>
            <w:bookmarkEnd w:id="3"/>
            <w:r w:rsidRPr="008325B3">
              <w:rPr>
                <w:rFonts w:cs="Times New Roman"/>
                <w:sz w:val="20"/>
                <w:szCs w:val="20"/>
              </w:rPr>
              <w:lastRenderedPageBreak/>
              <w:t xml:space="preserve">pracownika kancelarii i czy biedzie miał do niego dostęp w PI po zalogowaniu się na swoje dotychczasowe konto imienne. </w:t>
            </w:r>
            <w:bookmarkEnd w:id="4"/>
          </w:p>
        </w:tc>
        <w:tc>
          <w:tcPr>
            <w:tcW w:w="4816" w:type="dxa"/>
          </w:tcPr>
          <w:p w14:paraId="77C89306" w14:textId="4E68C45E" w:rsidR="007431FB" w:rsidRPr="008325B3" w:rsidRDefault="00AE326D" w:rsidP="001D61D2">
            <w:pPr>
              <w:jc w:val="both"/>
              <w:rPr>
                <w:rFonts w:cs="Times New Roman"/>
                <w:b/>
                <w:bCs/>
                <w:sz w:val="20"/>
                <w:szCs w:val="20"/>
              </w:rPr>
            </w:pPr>
            <w:bookmarkStart w:id="5" w:name="_Hlk157678338"/>
            <w:r w:rsidRPr="008325B3">
              <w:rPr>
                <w:rFonts w:cs="Times New Roman"/>
                <w:b/>
                <w:bCs/>
                <w:sz w:val="20"/>
                <w:szCs w:val="20"/>
              </w:rPr>
              <w:lastRenderedPageBreak/>
              <w:t>Zrezygnowano z treści  zaproponowanej w § 6 projektu.</w:t>
            </w:r>
            <w:bookmarkEnd w:id="5"/>
          </w:p>
        </w:tc>
      </w:tr>
      <w:tr w:rsidR="007431FB" w:rsidRPr="008325B3" w14:paraId="50D94E0E" w14:textId="77777777" w:rsidTr="00F0600D">
        <w:trPr>
          <w:trHeight w:val="812"/>
        </w:trPr>
        <w:tc>
          <w:tcPr>
            <w:tcW w:w="834" w:type="dxa"/>
          </w:tcPr>
          <w:p w14:paraId="31D57B35" w14:textId="27AFA99A" w:rsidR="007431FB" w:rsidRPr="008325B3" w:rsidRDefault="00974159" w:rsidP="00E36D10">
            <w:pPr>
              <w:tabs>
                <w:tab w:val="left" w:pos="360"/>
              </w:tabs>
              <w:jc w:val="center"/>
              <w:rPr>
                <w:rFonts w:cs="Times New Roman"/>
                <w:sz w:val="20"/>
                <w:szCs w:val="20"/>
              </w:rPr>
            </w:pPr>
            <w:r w:rsidRPr="008325B3">
              <w:rPr>
                <w:rFonts w:cs="Times New Roman"/>
                <w:sz w:val="20"/>
                <w:szCs w:val="20"/>
              </w:rPr>
              <w:t>16</w:t>
            </w:r>
          </w:p>
        </w:tc>
        <w:tc>
          <w:tcPr>
            <w:tcW w:w="1566" w:type="dxa"/>
          </w:tcPr>
          <w:p w14:paraId="65E468C8" w14:textId="060B533B" w:rsidR="007431FB" w:rsidRPr="008325B3" w:rsidRDefault="007431FB" w:rsidP="00E36D10">
            <w:pPr>
              <w:jc w:val="center"/>
              <w:rPr>
                <w:rFonts w:cs="Times New Roman"/>
                <w:b/>
                <w:bCs/>
                <w:sz w:val="20"/>
                <w:szCs w:val="20"/>
              </w:rPr>
            </w:pPr>
            <w:r w:rsidRPr="008325B3">
              <w:rPr>
                <w:rFonts w:cs="Times New Roman"/>
                <w:b/>
                <w:bCs/>
                <w:sz w:val="20"/>
                <w:szCs w:val="20"/>
              </w:rPr>
              <w:t>§ 6 projektu</w:t>
            </w:r>
          </w:p>
        </w:tc>
        <w:tc>
          <w:tcPr>
            <w:tcW w:w="2131" w:type="dxa"/>
          </w:tcPr>
          <w:p w14:paraId="0694BA45" w14:textId="6A828F1E" w:rsidR="007431FB" w:rsidRPr="008325B3" w:rsidRDefault="007431FB" w:rsidP="00E36D10">
            <w:pPr>
              <w:jc w:val="center"/>
              <w:rPr>
                <w:rFonts w:cs="Times New Roman"/>
                <w:b/>
                <w:bCs/>
                <w:sz w:val="20"/>
                <w:szCs w:val="20"/>
              </w:rPr>
            </w:pPr>
            <w:r w:rsidRPr="008325B3">
              <w:rPr>
                <w:rFonts w:cs="Times New Roman"/>
                <w:b/>
                <w:bCs/>
                <w:sz w:val="20"/>
                <w:szCs w:val="20"/>
              </w:rPr>
              <w:t>Prezes PGRP</w:t>
            </w:r>
          </w:p>
        </w:tc>
        <w:tc>
          <w:tcPr>
            <w:tcW w:w="4962" w:type="dxa"/>
          </w:tcPr>
          <w:p w14:paraId="6D1CCF1A" w14:textId="77777777" w:rsidR="007431FB" w:rsidRPr="008325B3" w:rsidRDefault="007431FB" w:rsidP="007431FB">
            <w:pPr>
              <w:jc w:val="both"/>
              <w:rPr>
                <w:rFonts w:cs="Times New Roman"/>
                <w:sz w:val="20"/>
                <w:szCs w:val="20"/>
              </w:rPr>
            </w:pPr>
            <w:r w:rsidRPr="008325B3">
              <w:rPr>
                <w:rFonts w:cs="Times New Roman"/>
                <w:sz w:val="20"/>
                <w:szCs w:val="20"/>
              </w:rPr>
              <w:t>Proj. przepis jest zbędny w świetle ustawowych rozwiązań dotyczących posiadania przez konkretne podmioty, w tym Prokuratorię, jednego konta „instytucjonalnego”.</w:t>
            </w:r>
          </w:p>
          <w:p w14:paraId="12BA94FA" w14:textId="3B1753E1" w:rsidR="007431FB" w:rsidRPr="008325B3" w:rsidRDefault="007431FB" w:rsidP="007431FB">
            <w:pPr>
              <w:jc w:val="both"/>
              <w:rPr>
                <w:rFonts w:cs="Times New Roman"/>
                <w:sz w:val="20"/>
                <w:szCs w:val="20"/>
              </w:rPr>
            </w:pPr>
          </w:p>
        </w:tc>
        <w:tc>
          <w:tcPr>
            <w:tcW w:w="4816" w:type="dxa"/>
          </w:tcPr>
          <w:p w14:paraId="1AF1FF3C" w14:textId="622F7A57" w:rsidR="007431FB" w:rsidRPr="008325B3" w:rsidRDefault="00AE326D" w:rsidP="001D61D2">
            <w:pPr>
              <w:jc w:val="both"/>
              <w:rPr>
                <w:rFonts w:cs="Times New Roman"/>
                <w:b/>
                <w:bCs/>
                <w:strike/>
                <w:sz w:val="20"/>
                <w:szCs w:val="20"/>
              </w:rPr>
            </w:pPr>
            <w:r w:rsidRPr="008325B3">
              <w:rPr>
                <w:rFonts w:cs="Times New Roman"/>
                <w:b/>
                <w:bCs/>
                <w:sz w:val="20"/>
                <w:szCs w:val="20"/>
              </w:rPr>
              <w:t>Zrezygnowano z treści  zaproponowanej w § 6 projektu.</w:t>
            </w:r>
          </w:p>
        </w:tc>
      </w:tr>
      <w:tr w:rsidR="00ED2C85" w:rsidRPr="008325B3" w14:paraId="273E7D21" w14:textId="77777777" w:rsidTr="00F0600D">
        <w:trPr>
          <w:trHeight w:val="812"/>
        </w:trPr>
        <w:tc>
          <w:tcPr>
            <w:tcW w:w="834" w:type="dxa"/>
          </w:tcPr>
          <w:p w14:paraId="7A3538D8" w14:textId="3B0E4697" w:rsidR="00ED2C85" w:rsidRPr="008325B3" w:rsidRDefault="00974159" w:rsidP="00E36D10">
            <w:pPr>
              <w:tabs>
                <w:tab w:val="left" w:pos="360"/>
              </w:tabs>
              <w:jc w:val="center"/>
              <w:rPr>
                <w:rFonts w:cs="Times New Roman"/>
                <w:sz w:val="20"/>
                <w:szCs w:val="20"/>
              </w:rPr>
            </w:pPr>
            <w:r w:rsidRPr="008325B3">
              <w:rPr>
                <w:rFonts w:cs="Times New Roman"/>
                <w:sz w:val="20"/>
                <w:szCs w:val="20"/>
              </w:rPr>
              <w:t>17</w:t>
            </w:r>
          </w:p>
        </w:tc>
        <w:tc>
          <w:tcPr>
            <w:tcW w:w="1566" w:type="dxa"/>
          </w:tcPr>
          <w:p w14:paraId="66D29E05" w14:textId="235314C3" w:rsidR="00ED2C85" w:rsidRPr="008325B3" w:rsidRDefault="00ED2C85" w:rsidP="00E36D10">
            <w:pPr>
              <w:jc w:val="center"/>
              <w:rPr>
                <w:rFonts w:cs="Times New Roman"/>
                <w:b/>
                <w:bCs/>
                <w:sz w:val="20"/>
                <w:szCs w:val="20"/>
              </w:rPr>
            </w:pPr>
            <w:r w:rsidRPr="008325B3">
              <w:rPr>
                <w:rFonts w:cs="Times New Roman"/>
                <w:b/>
                <w:bCs/>
                <w:sz w:val="20"/>
                <w:szCs w:val="20"/>
              </w:rPr>
              <w:t>Uwagi ogólne</w:t>
            </w:r>
          </w:p>
        </w:tc>
        <w:tc>
          <w:tcPr>
            <w:tcW w:w="2131" w:type="dxa"/>
          </w:tcPr>
          <w:p w14:paraId="390500DB" w14:textId="2BA1FC7C" w:rsidR="00ED2C85" w:rsidRPr="008325B3" w:rsidRDefault="00ED2C85" w:rsidP="00E36D10">
            <w:pPr>
              <w:jc w:val="center"/>
              <w:rPr>
                <w:rFonts w:cs="Times New Roman"/>
                <w:b/>
                <w:bCs/>
                <w:sz w:val="20"/>
                <w:szCs w:val="20"/>
              </w:rPr>
            </w:pPr>
            <w:r w:rsidRPr="008325B3">
              <w:rPr>
                <w:rFonts w:cs="Times New Roman"/>
                <w:b/>
                <w:bCs/>
                <w:sz w:val="20"/>
                <w:szCs w:val="20"/>
              </w:rPr>
              <w:t>Prezes PGRP</w:t>
            </w:r>
          </w:p>
        </w:tc>
        <w:tc>
          <w:tcPr>
            <w:tcW w:w="4962" w:type="dxa"/>
          </w:tcPr>
          <w:p w14:paraId="5D4FB163" w14:textId="77777777" w:rsidR="00ED2C85" w:rsidRPr="008325B3" w:rsidRDefault="00ED2C85" w:rsidP="00ED2C85">
            <w:pPr>
              <w:jc w:val="both"/>
              <w:rPr>
                <w:rFonts w:cs="Times New Roman"/>
                <w:sz w:val="20"/>
                <w:szCs w:val="20"/>
                <w:u w:val="single"/>
              </w:rPr>
            </w:pPr>
            <w:r w:rsidRPr="008325B3">
              <w:rPr>
                <w:rFonts w:cs="Times New Roman"/>
                <w:sz w:val="20"/>
                <w:szCs w:val="20"/>
              </w:rPr>
              <w:t>Istotną kwestią, która powinna zostać uregulowana, jest kwestia dokonywania doręczeń wyłącznie w ramach spraw, do których użytkownik konta posiada dostęp w PI. W praktyce możliwe są obecnie sytuacje udostępnienia pisma przez sąd użytkownikowi konta we właściwej zakładce, upływu 14-dniowego terminu i uznania pisma za doręczone w trybie art. 131</w:t>
            </w:r>
            <w:r w:rsidRPr="008325B3">
              <w:rPr>
                <w:rFonts w:cs="Times New Roman"/>
                <w:sz w:val="20"/>
                <w:szCs w:val="20"/>
                <w:vertAlign w:val="superscript"/>
              </w:rPr>
              <w:t>1a</w:t>
            </w:r>
            <w:r w:rsidRPr="008325B3">
              <w:rPr>
                <w:rFonts w:cs="Times New Roman"/>
                <w:sz w:val="20"/>
                <w:szCs w:val="20"/>
              </w:rPr>
              <w:t xml:space="preserve"> § 2 k.p.c., pomimo że użytkownik nie miał w PI dostępu do danej sprawy, której doręczenie dotyczyło, a zatem nie miał realnej możliwości odbioru pisma. Zasadnym jest więc </w:t>
            </w:r>
            <w:r w:rsidRPr="008325B3">
              <w:rPr>
                <w:rFonts w:cs="Times New Roman"/>
                <w:sz w:val="20"/>
                <w:szCs w:val="20"/>
                <w:u w:val="single"/>
              </w:rPr>
              <w:t>uregulowanie kwestii przydzielania użytkownikom kont dostępu do spraw w PI.</w:t>
            </w:r>
          </w:p>
          <w:p w14:paraId="0FFE9FA3" w14:textId="77777777" w:rsidR="00ED2C85" w:rsidRPr="008325B3" w:rsidRDefault="00ED2C85" w:rsidP="00D567C8">
            <w:pPr>
              <w:pStyle w:val="Default"/>
              <w:jc w:val="both"/>
              <w:rPr>
                <w:rFonts w:ascii="Times New Roman" w:hAnsi="Times New Roman" w:cs="Times New Roman"/>
                <w:color w:val="auto"/>
                <w:sz w:val="20"/>
                <w:szCs w:val="20"/>
              </w:rPr>
            </w:pPr>
          </w:p>
        </w:tc>
        <w:tc>
          <w:tcPr>
            <w:tcW w:w="4816" w:type="dxa"/>
          </w:tcPr>
          <w:p w14:paraId="363EEE08" w14:textId="6672AFC3" w:rsidR="00ED2C85" w:rsidRPr="008325B3" w:rsidRDefault="00AE326D" w:rsidP="001D61D2">
            <w:pPr>
              <w:jc w:val="both"/>
              <w:rPr>
                <w:rFonts w:cs="Times New Roman"/>
                <w:b/>
                <w:bCs/>
                <w:sz w:val="20"/>
                <w:szCs w:val="20"/>
              </w:rPr>
            </w:pPr>
            <w:r w:rsidRPr="008325B3">
              <w:rPr>
                <w:rFonts w:cs="Times New Roman"/>
                <w:b/>
                <w:bCs/>
                <w:sz w:val="20"/>
                <w:szCs w:val="20"/>
              </w:rPr>
              <w:t>Uwaga uwzględniona.</w:t>
            </w:r>
          </w:p>
        </w:tc>
      </w:tr>
      <w:tr w:rsidR="00ED2C85" w:rsidRPr="008325B3" w14:paraId="3818FD49" w14:textId="77777777" w:rsidTr="00F0600D">
        <w:trPr>
          <w:trHeight w:val="812"/>
        </w:trPr>
        <w:tc>
          <w:tcPr>
            <w:tcW w:w="834" w:type="dxa"/>
          </w:tcPr>
          <w:p w14:paraId="702509D3" w14:textId="5C4C0EDF" w:rsidR="00ED2C85" w:rsidRPr="008325B3" w:rsidRDefault="00974159" w:rsidP="00E36D10">
            <w:pPr>
              <w:tabs>
                <w:tab w:val="left" w:pos="360"/>
              </w:tabs>
              <w:jc w:val="center"/>
              <w:rPr>
                <w:rFonts w:cs="Times New Roman"/>
                <w:sz w:val="20"/>
                <w:szCs w:val="20"/>
              </w:rPr>
            </w:pPr>
            <w:r w:rsidRPr="008325B3">
              <w:rPr>
                <w:rFonts w:cs="Times New Roman"/>
                <w:sz w:val="20"/>
                <w:szCs w:val="20"/>
              </w:rPr>
              <w:t>18</w:t>
            </w:r>
          </w:p>
        </w:tc>
        <w:tc>
          <w:tcPr>
            <w:tcW w:w="1566" w:type="dxa"/>
          </w:tcPr>
          <w:p w14:paraId="57F6C9C7" w14:textId="31B99EAE" w:rsidR="00ED2C85" w:rsidRPr="008325B3" w:rsidRDefault="00ED2C85" w:rsidP="00E36D10">
            <w:pPr>
              <w:jc w:val="center"/>
              <w:rPr>
                <w:rFonts w:cs="Times New Roman"/>
                <w:b/>
                <w:bCs/>
                <w:sz w:val="20"/>
                <w:szCs w:val="20"/>
              </w:rPr>
            </w:pPr>
            <w:r w:rsidRPr="008325B3">
              <w:rPr>
                <w:rFonts w:cs="Times New Roman"/>
                <w:b/>
                <w:bCs/>
                <w:sz w:val="20"/>
                <w:szCs w:val="20"/>
              </w:rPr>
              <w:t>Uwagi ogólne</w:t>
            </w:r>
          </w:p>
        </w:tc>
        <w:tc>
          <w:tcPr>
            <w:tcW w:w="2131" w:type="dxa"/>
          </w:tcPr>
          <w:p w14:paraId="31A7C750" w14:textId="04318EF8" w:rsidR="00ED2C85" w:rsidRPr="008325B3" w:rsidRDefault="00ED2C85" w:rsidP="00E36D10">
            <w:pPr>
              <w:jc w:val="center"/>
              <w:rPr>
                <w:rFonts w:cs="Times New Roman"/>
                <w:b/>
                <w:bCs/>
                <w:sz w:val="20"/>
                <w:szCs w:val="20"/>
              </w:rPr>
            </w:pPr>
            <w:r w:rsidRPr="008325B3">
              <w:rPr>
                <w:rFonts w:cs="Times New Roman"/>
                <w:b/>
                <w:bCs/>
                <w:sz w:val="20"/>
                <w:szCs w:val="20"/>
              </w:rPr>
              <w:t>Sędzia SA we Wrocławiu z up. Prezesa SA we Wrocławiu</w:t>
            </w:r>
            <w:r w:rsidRPr="008325B3">
              <w:rPr>
                <w:rFonts w:cs="Times New Roman"/>
                <w:sz w:val="20"/>
                <w:szCs w:val="20"/>
              </w:rPr>
              <w:t xml:space="preserve"> – Prezes SO we Wrocławiu</w:t>
            </w:r>
          </w:p>
        </w:tc>
        <w:tc>
          <w:tcPr>
            <w:tcW w:w="4962" w:type="dxa"/>
          </w:tcPr>
          <w:p w14:paraId="6D81B4CE" w14:textId="77777777" w:rsidR="00ED2C85" w:rsidRPr="008325B3" w:rsidRDefault="00ED2C85" w:rsidP="00ED2C85">
            <w:pPr>
              <w:autoSpaceDE w:val="0"/>
              <w:autoSpaceDN w:val="0"/>
              <w:adjustRightInd w:val="0"/>
              <w:jc w:val="both"/>
              <w:rPr>
                <w:rFonts w:cs="Times New Roman"/>
                <w:sz w:val="20"/>
                <w:szCs w:val="20"/>
              </w:rPr>
            </w:pPr>
            <w:r w:rsidRPr="008325B3">
              <w:rPr>
                <w:rFonts w:cs="Times New Roman"/>
                <w:sz w:val="20"/>
                <w:szCs w:val="20"/>
              </w:rPr>
              <w:t xml:space="preserve">Projekt nie zawiera wyczerpującej regulacji tematyki doręczeń, przy czym wobec braku rozporządzenia wykonawczego przewidzianego do wydania na podstawie art. 53e p.u.s.p. nie jest jasne czy kwestie te nie będą przedmiotem innej regulacji. </w:t>
            </w:r>
          </w:p>
          <w:p w14:paraId="240247B0" w14:textId="6AADE190" w:rsidR="00ED2C85" w:rsidRPr="008325B3" w:rsidRDefault="009740B4" w:rsidP="00ED2C85">
            <w:pPr>
              <w:autoSpaceDE w:val="0"/>
              <w:autoSpaceDN w:val="0"/>
              <w:adjustRightInd w:val="0"/>
              <w:jc w:val="both"/>
              <w:rPr>
                <w:rFonts w:cs="Times New Roman"/>
                <w:sz w:val="20"/>
                <w:szCs w:val="20"/>
              </w:rPr>
            </w:pPr>
            <w:r w:rsidRPr="008325B3">
              <w:rPr>
                <w:rFonts w:cs="Times New Roman"/>
                <w:sz w:val="20"/>
                <w:szCs w:val="20"/>
              </w:rPr>
              <w:t xml:space="preserve">Wśród </w:t>
            </w:r>
            <w:r w:rsidR="00ED2C85" w:rsidRPr="008325B3">
              <w:rPr>
                <w:rFonts w:cs="Times New Roman"/>
                <w:sz w:val="20"/>
                <w:szCs w:val="20"/>
              </w:rPr>
              <w:t>pominiętych zagadnień wskaza</w:t>
            </w:r>
            <w:r w:rsidRPr="008325B3">
              <w:rPr>
                <w:rFonts w:cs="Times New Roman"/>
                <w:sz w:val="20"/>
                <w:szCs w:val="20"/>
              </w:rPr>
              <w:t>no</w:t>
            </w:r>
            <w:r w:rsidR="00ED2C85" w:rsidRPr="008325B3">
              <w:rPr>
                <w:rFonts w:cs="Times New Roman"/>
                <w:sz w:val="20"/>
                <w:szCs w:val="20"/>
              </w:rPr>
              <w:t>:</w:t>
            </w:r>
          </w:p>
          <w:p w14:paraId="0684E05D" w14:textId="77777777" w:rsidR="00ED2C85" w:rsidRPr="008325B3" w:rsidRDefault="00ED2C85" w:rsidP="00ED2C85">
            <w:pPr>
              <w:autoSpaceDE w:val="0"/>
              <w:autoSpaceDN w:val="0"/>
              <w:adjustRightInd w:val="0"/>
              <w:jc w:val="both"/>
              <w:rPr>
                <w:rFonts w:cs="Times New Roman"/>
                <w:sz w:val="20"/>
                <w:szCs w:val="20"/>
              </w:rPr>
            </w:pPr>
            <w:r w:rsidRPr="008325B3">
              <w:rPr>
                <w:rFonts w:cs="Times New Roman"/>
                <w:sz w:val="20"/>
                <w:szCs w:val="20"/>
              </w:rPr>
              <w:t xml:space="preserve">- brak regulacji obowiązku, aby udostępniać w PI sprawy pełnomocnikom bez wniosku w tym zakresie, </w:t>
            </w:r>
          </w:p>
          <w:p w14:paraId="32A016D1" w14:textId="77777777" w:rsidR="00ED2C85" w:rsidRPr="008325B3" w:rsidRDefault="00ED2C85" w:rsidP="00ED2C85">
            <w:pPr>
              <w:autoSpaceDE w:val="0"/>
              <w:autoSpaceDN w:val="0"/>
              <w:adjustRightInd w:val="0"/>
              <w:jc w:val="both"/>
              <w:rPr>
                <w:rFonts w:cs="Times New Roman"/>
                <w:sz w:val="20"/>
                <w:szCs w:val="20"/>
              </w:rPr>
            </w:pPr>
            <w:r w:rsidRPr="008325B3">
              <w:rPr>
                <w:rFonts w:cs="Times New Roman"/>
                <w:sz w:val="20"/>
                <w:szCs w:val="20"/>
              </w:rPr>
              <w:t>- brak wyraźnego określenia odmienności działania przy kontach instytucjonalnych (PGRP, prokuratury i ZER MSWiA)</w:t>
            </w:r>
          </w:p>
          <w:p w14:paraId="42983142" w14:textId="77777777" w:rsidR="00ED2C85" w:rsidRPr="008325B3" w:rsidRDefault="00ED2C85" w:rsidP="00ED2C85">
            <w:pPr>
              <w:autoSpaceDE w:val="0"/>
              <w:autoSpaceDN w:val="0"/>
              <w:adjustRightInd w:val="0"/>
              <w:jc w:val="both"/>
              <w:rPr>
                <w:rFonts w:cs="Times New Roman"/>
                <w:sz w:val="20"/>
                <w:szCs w:val="20"/>
              </w:rPr>
            </w:pPr>
            <w:r w:rsidRPr="008325B3">
              <w:rPr>
                <w:rFonts w:cs="Times New Roman"/>
                <w:sz w:val="20"/>
                <w:szCs w:val="20"/>
              </w:rPr>
              <w:t xml:space="preserve">- brak regulacji dot. przy wykazaniu subkonta wraz z brakiem regulacji samego subkonta i upoważnienia (w ekstremalnej sytuacji można spodziewać się w orzecznictwie sądowym rozważana czy obiór </w:t>
            </w:r>
            <w:r w:rsidRPr="008325B3">
              <w:rPr>
                <w:rFonts w:cs="Times New Roman"/>
                <w:i/>
                <w:iCs/>
                <w:sz w:val="20"/>
                <w:szCs w:val="20"/>
              </w:rPr>
              <w:t>via</w:t>
            </w:r>
            <w:r w:rsidRPr="008325B3">
              <w:rPr>
                <w:rFonts w:cs="Times New Roman"/>
                <w:sz w:val="20"/>
                <w:szCs w:val="20"/>
              </w:rPr>
              <w:t xml:space="preserve"> subkonto </w:t>
            </w:r>
            <w:r w:rsidRPr="008325B3">
              <w:rPr>
                <w:rFonts w:cs="Times New Roman"/>
                <w:sz w:val="20"/>
                <w:szCs w:val="20"/>
              </w:rPr>
              <w:lastRenderedPageBreak/>
              <w:t xml:space="preserve">jest doręczeniem) nie można bowiem uznać, aby § 5 proj. był wyczerpująco regulacją. </w:t>
            </w:r>
          </w:p>
          <w:p w14:paraId="63A688F1" w14:textId="77777777" w:rsidR="00ED2C85" w:rsidRPr="008325B3" w:rsidRDefault="00ED2C85" w:rsidP="00ED2C85">
            <w:pPr>
              <w:autoSpaceDE w:val="0"/>
              <w:autoSpaceDN w:val="0"/>
              <w:adjustRightInd w:val="0"/>
              <w:jc w:val="both"/>
              <w:rPr>
                <w:rFonts w:cs="Times New Roman"/>
                <w:sz w:val="20"/>
                <w:szCs w:val="20"/>
              </w:rPr>
            </w:pPr>
            <w:r w:rsidRPr="008325B3">
              <w:rPr>
                <w:rFonts w:cs="Times New Roman"/>
                <w:sz w:val="20"/>
                <w:szCs w:val="20"/>
              </w:rPr>
              <w:t>- brak określenia zasad archiwizacji zapisów na koncie użytkowników (co do potwierdzeń doręczeń  - do systemu sądowego w istocie tafie kopia potwierdzenia).</w:t>
            </w:r>
          </w:p>
          <w:p w14:paraId="0C9610BF" w14:textId="77777777" w:rsidR="00ED2C85" w:rsidRPr="008325B3" w:rsidRDefault="00ED2C85" w:rsidP="00ED2C85">
            <w:pPr>
              <w:jc w:val="both"/>
              <w:rPr>
                <w:rFonts w:cs="Times New Roman"/>
                <w:sz w:val="20"/>
                <w:szCs w:val="20"/>
              </w:rPr>
            </w:pPr>
          </w:p>
        </w:tc>
        <w:tc>
          <w:tcPr>
            <w:tcW w:w="4816" w:type="dxa"/>
          </w:tcPr>
          <w:p w14:paraId="204966D0" w14:textId="77777777" w:rsidR="00536AE1" w:rsidRPr="008325B3" w:rsidRDefault="00AE326D" w:rsidP="00D66757">
            <w:pPr>
              <w:jc w:val="both"/>
              <w:rPr>
                <w:rFonts w:cs="Times New Roman"/>
                <w:b/>
                <w:bCs/>
                <w:sz w:val="20"/>
                <w:szCs w:val="20"/>
              </w:rPr>
            </w:pPr>
            <w:r w:rsidRPr="008325B3">
              <w:rPr>
                <w:rFonts w:cs="Times New Roman"/>
                <w:b/>
                <w:bCs/>
                <w:sz w:val="20"/>
                <w:szCs w:val="20"/>
              </w:rPr>
              <w:lastRenderedPageBreak/>
              <w:t>Uwaga wyjaśniona.</w:t>
            </w:r>
          </w:p>
          <w:p w14:paraId="740D2A34" w14:textId="1E989EA0" w:rsidR="00AE326D" w:rsidRPr="008325B3" w:rsidRDefault="00AE326D" w:rsidP="00D66757">
            <w:pPr>
              <w:jc w:val="both"/>
              <w:rPr>
                <w:rFonts w:cs="Times New Roman"/>
                <w:sz w:val="20"/>
                <w:szCs w:val="20"/>
              </w:rPr>
            </w:pPr>
            <w:r w:rsidRPr="008325B3">
              <w:rPr>
                <w:rFonts w:cs="Times New Roman"/>
                <w:sz w:val="20"/>
                <w:szCs w:val="20"/>
              </w:rPr>
              <w:t>Dokonano zmiany § 3 ust. 3 proj</w:t>
            </w:r>
            <w:r w:rsidR="00AE2103" w:rsidRPr="008325B3">
              <w:rPr>
                <w:rFonts w:cs="Times New Roman"/>
                <w:sz w:val="20"/>
                <w:szCs w:val="20"/>
              </w:rPr>
              <w:t xml:space="preserve">. </w:t>
            </w:r>
            <w:r w:rsidRPr="008325B3">
              <w:rPr>
                <w:rFonts w:cs="Times New Roman"/>
                <w:sz w:val="20"/>
                <w:szCs w:val="20"/>
              </w:rPr>
              <w:t>rozporządzenia. W pozostałym zakresie podnoszone kwestie zostały uregulowane w proj</w:t>
            </w:r>
            <w:r w:rsidR="00AE2103" w:rsidRPr="008325B3">
              <w:rPr>
                <w:rFonts w:cs="Times New Roman"/>
                <w:sz w:val="20"/>
                <w:szCs w:val="20"/>
              </w:rPr>
              <w:t xml:space="preserve">. </w:t>
            </w:r>
            <w:r w:rsidRPr="008325B3">
              <w:rPr>
                <w:rFonts w:cs="Times New Roman"/>
                <w:sz w:val="20"/>
                <w:szCs w:val="20"/>
              </w:rPr>
              <w:t xml:space="preserve">rozporządzenia wydawanego na podstawie art. 53e § 2 p.u.s.p. </w:t>
            </w:r>
          </w:p>
        </w:tc>
      </w:tr>
      <w:tr w:rsidR="00ED2C85" w:rsidRPr="008325B3" w14:paraId="37C8C733" w14:textId="77777777" w:rsidTr="00F0600D">
        <w:trPr>
          <w:trHeight w:val="812"/>
        </w:trPr>
        <w:tc>
          <w:tcPr>
            <w:tcW w:w="834" w:type="dxa"/>
          </w:tcPr>
          <w:p w14:paraId="4F7EF8EB" w14:textId="699429B1" w:rsidR="00ED2C85" w:rsidRPr="008325B3" w:rsidRDefault="00974159" w:rsidP="00E36D10">
            <w:pPr>
              <w:tabs>
                <w:tab w:val="left" w:pos="360"/>
              </w:tabs>
              <w:jc w:val="center"/>
              <w:rPr>
                <w:rFonts w:cs="Times New Roman"/>
                <w:sz w:val="20"/>
                <w:szCs w:val="20"/>
              </w:rPr>
            </w:pPr>
            <w:r w:rsidRPr="008325B3">
              <w:rPr>
                <w:rFonts w:cs="Times New Roman"/>
                <w:sz w:val="20"/>
                <w:szCs w:val="20"/>
              </w:rPr>
              <w:t>19</w:t>
            </w:r>
          </w:p>
        </w:tc>
        <w:tc>
          <w:tcPr>
            <w:tcW w:w="1566" w:type="dxa"/>
          </w:tcPr>
          <w:p w14:paraId="55203CFD" w14:textId="22A8DA4A" w:rsidR="00ED2C85" w:rsidRPr="008325B3" w:rsidRDefault="00C74CF8" w:rsidP="00E36D10">
            <w:pPr>
              <w:jc w:val="center"/>
              <w:rPr>
                <w:rFonts w:cs="Times New Roman"/>
                <w:b/>
                <w:bCs/>
                <w:sz w:val="20"/>
                <w:szCs w:val="20"/>
              </w:rPr>
            </w:pPr>
            <w:r w:rsidRPr="008325B3">
              <w:rPr>
                <w:rFonts w:cs="Times New Roman"/>
                <w:b/>
                <w:bCs/>
                <w:sz w:val="20"/>
                <w:szCs w:val="20"/>
              </w:rPr>
              <w:t>Uwagi ogólne</w:t>
            </w:r>
          </w:p>
        </w:tc>
        <w:tc>
          <w:tcPr>
            <w:tcW w:w="2131" w:type="dxa"/>
          </w:tcPr>
          <w:p w14:paraId="50D0AC25" w14:textId="085498D5" w:rsidR="00ED2C85" w:rsidRPr="008325B3" w:rsidRDefault="00C74CF8" w:rsidP="00E36D10">
            <w:pPr>
              <w:jc w:val="center"/>
              <w:rPr>
                <w:rFonts w:cs="Times New Roman"/>
                <w:b/>
                <w:bCs/>
                <w:sz w:val="20"/>
                <w:szCs w:val="20"/>
              </w:rPr>
            </w:pPr>
            <w:r w:rsidRPr="008325B3">
              <w:rPr>
                <w:rFonts w:cs="Times New Roman"/>
                <w:b/>
                <w:bCs/>
                <w:sz w:val="20"/>
                <w:szCs w:val="20"/>
              </w:rPr>
              <w:t>Sędzia SA we Wrocławiu z up. Prezesa SA we Wrocławiu</w:t>
            </w:r>
            <w:r w:rsidRPr="008325B3">
              <w:rPr>
                <w:rFonts w:cs="Times New Roman"/>
                <w:sz w:val="20"/>
                <w:szCs w:val="20"/>
              </w:rPr>
              <w:t xml:space="preserve"> – Odział  Informatyczny SA we Wrocławiu</w:t>
            </w:r>
          </w:p>
        </w:tc>
        <w:tc>
          <w:tcPr>
            <w:tcW w:w="4962" w:type="dxa"/>
          </w:tcPr>
          <w:p w14:paraId="19446DAE" w14:textId="1C5A08D3" w:rsidR="00C74CF8" w:rsidRPr="008325B3" w:rsidRDefault="00C74CF8" w:rsidP="00C74CF8">
            <w:pPr>
              <w:autoSpaceDE w:val="0"/>
              <w:autoSpaceDN w:val="0"/>
              <w:adjustRightInd w:val="0"/>
              <w:jc w:val="both"/>
              <w:rPr>
                <w:rFonts w:cs="Times New Roman"/>
                <w:sz w:val="20"/>
                <w:szCs w:val="20"/>
              </w:rPr>
            </w:pPr>
            <w:r w:rsidRPr="008325B3">
              <w:rPr>
                <w:rFonts w:cs="Times New Roman"/>
                <w:sz w:val="20"/>
                <w:szCs w:val="20"/>
              </w:rPr>
              <w:t>Projekt nie wyczerpuje zagadnień, związanych z doręczeniami elektronicznymi, dotyczących nast. kwestii:</w:t>
            </w:r>
          </w:p>
          <w:p w14:paraId="713074D0" w14:textId="77777777" w:rsidR="00C74CF8" w:rsidRPr="008325B3" w:rsidRDefault="00C74CF8" w:rsidP="00C74CF8">
            <w:pPr>
              <w:autoSpaceDE w:val="0"/>
              <w:autoSpaceDN w:val="0"/>
              <w:adjustRightInd w:val="0"/>
              <w:jc w:val="both"/>
              <w:rPr>
                <w:rFonts w:cs="Times New Roman"/>
                <w:sz w:val="20"/>
                <w:szCs w:val="20"/>
              </w:rPr>
            </w:pPr>
            <w:r w:rsidRPr="008325B3">
              <w:rPr>
                <w:rFonts w:cs="Times New Roman"/>
                <w:sz w:val="20"/>
                <w:szCs w:val="20"/>
              </w:rPr>
              <w:t>- obowiązków sekretariatu, aby sprawa była adresatom doręczeń elektronicznych udostępniona bezwnioskowo,</w:t>
            </w:r>
          </w:p>
          <w:p w14:paraId="6AFE5023" w14:textId="77777777" w:rsidR="00C74CF8" w:rsidRPr="008325B3" w:rsidRDefault="00C74CF8" w:rsidP="00C74CF8">
            <w:pPr>
              <w:autoSpaceDE w:val="0"/>
              <w:autoSpaceDN w:val="0"/>
              <w:adjustRightInd w:val="0"/>
              <w:jc w:val="both"/>
              <w:rPr>
                <w:rFonts w:cs="Times New Roman"/>
                <w:sz w:val="20"/>
                <w:szCs w:val="20"/>
              </w:rPr>
            </w:pPr>
            <w:r w:rsidRPr="008325B3">
              <w:rPr>
                <w:rFonts w:cs="Times New Roman"/>
                <w:sz w:val="20"/>
                <w:szCs w:val="20"/>
              </w:rPr>
              <w:t xml:space="preserve">- wskazania, że PGRP, ZER i prokuratorom doręczenia odbywa się przy funkcjonalności Biura Podawczego konta instytucjonalnego, </w:t>
            </w:r>
          </w:p>
          <w:p w14:paraId="3955433B" w14:textId="77777777" w:rsidR="00C74CF8" w:rsidRPr="008325B3" w:rsidRDefault="00C74CF8" w:rsidP="00C74CF8">
            <w:pPr>
              <w:autoSpaceDE w:val="0"/>
              <w:autoSpaceDN w:val="0"/>
              <w:adjustRightInd w:val="0"/>
              <w:jc w:val="both"/>
              <w:rPr>
                <w:rFonts w:cs="Times New Roman"/>
                <w:sz w:val="20"/>
                <w:szCs w:val="20"/>
              </w:rPr>
            </w:pPr>
            <w:r w:rsidRPr="008325B3">
              <w:rPr>
                <w:rFonts w:cs="Times New Roman"/>
                <w:sz w:val="20"/>
                <w:szCs w:val="20"/>
              </w:rPr>
              <w:t>- możliwości upoważnienia do odbioru pisma właściciela subkonta (konta zależnego) konta głównego,</w:t>
            </w:r>
          </w:p>
          <w:p w14:paraId="1700F34C" w14:textId="77777777" w:rsidR="00C74CF8" w:rsidRPr="008325B3" w:rsidRDefault="00C74CF8" w:rsidP="00C74CF8">
            <w:pPr>
              <w:autoSpaceDE w:val="0"/>
              <w:autoSpaceDN w:val="0"/>
              <w:adjustRightInd w:val="0"/>
              <w:jc w:val="both"/>
              <w:rPr>
                <w:rFonts w:cs="Times New Roman"/>
                <w:sz w:val="20"/>
                <w:szCs w:val="20"/>
              </w:rPr>
            </w:pPr>
            <w:r w:rsidRPr="008325B3">
              <w:rPr>
                <w:rFonts w:cs="Times New Roman"/>
                <w:sz w:val="20"/>
                <w:szCs w:val="20"/>
              </w:rPr>
              <w:t>- konsekwencji w przypadku, gdy sprawa nie jest udostępniona i doręczenie nie może być wykonane (obecnie technologicznie pojawia się adnotacja „błąd doręczenia),</w:t>
            </w:r>
          </w:p>
          <w:p w14:paraId="1A825B51" w14:textId="77777777" w:rsidR="00C74CF8" w:rsidRPr="008325B3" w:rsidRDefault="00C74CF8" w:rsidP="00C74CF8">
            <w:pPr>
              <w:autoSpaceDE w:val="0"/>
              <w:autoSpaceDN w:val="0"/>
              <w:adjustRightInd w:val="0"/>
              <w:jc w:val="both"/>
              <w:rPr>
                <w:rFonts w:cs="Times New Roman"/>
                <w:sz w:val="20"/>
                <w:szCs w:val="20"/>
              </w:rPr>
            </w:pPr>
            <w:r w:rsidRPr="008325B3">
              <w:rPr>
                <w:rFonts w:cs="Times New Roman"/>
                <w:sz w:val="20"/>
                <w:szCs w:val="20"/>
              </w:rPr>
              <w:t xml:space="preserve">- konsekwencji braku konta w PI, gdy na podstawie weryfikacji w ROBUS system ustalił, że adresat powinien konto w systemie posiadać (obecnie doręczenie uważa się za skuteczne), </w:t>
            </w:r>
          </w:p>
          <w:p w14:paraId="1C52A743" w14:textId="77777777" w:rsidR="00ED2C85" w:rsidRPr="008325B3" w:rsidRDefault="00C74CF8" w:rsidP="00ED2C85">
            <w:pPr>
              <w:autoSpaceDE w:val="0"/>
              <w:autoSpaceDN w:val="0"/>
              <w:adjustRightInd w:val="0"/>
              <w:jc w:val="both"/>
              <w:rPr>
                <w:rFonts w:cs="Times New Roman"/>
                <w:sz w:val="20"/>
                <w:szCs w:val="20"/>
              </w:rPr>
            </w:pPr>
            <w:r w:rsidRPr="008325B3">
              <w:rPr>
                <w:rFonts w:cs="Times New Roman"/>
                <w:sz w:val="20"/>
                <w:szCs w:val="20"/>
              </w:rPr>
              <w:t>- zasad archiwizacji oryginałów EPOK (i logów), które są przechowywane w PI (do SRB trafia „kopia elektroniczna”).</w:t>
            </w:r>
          </w:p>
          <w:p w14:paraId="7068F968" w14:textId="15E35C32" w:rsidR="00C74CF8" w:rsidRPr="008325B3" w:rsidRDefault="00C74CF8" w:rsidP="00ED2C85">
            <w:pPr>
              <w:autoSpaceDE w:val="0"/>
              <w:autoSpaceDN w:val="0"/>
              <w:adjustRightInd w:val="0"/>
              <w:jc w:val="both"/>
              <w:rPr>
                <w:rFonts w:cs="Times New Roman"/>
                <w:sz w:val="20"/>
                <w:szCs w:val="20"/>
              </w:rPr>
            </w:pPr>
          </w:p>
        </w:tc>
        <w:tc>
          <w:tcPr>
            <w:tcW w:w="4816" w:type="dxa"/>
          </w:tcPr>
          <w:p w14:paraId="4C8A8282" w14:textId="6E48BA44" w:rsidR="0048102F" w:rsidRPr="008325B3" w:rsidRDefault="0048102F" w:rsidP="0048102F">
            <w:pPr>
              <w:jc w:val="both"/>
              <w:rPr>
                <w:rFonts w:cs="Times New Roman"/>
                <w:b/>
                <w:bCs/>
                <w:sz w:val="20"/>
                <w:szCs w:val="20"/>
              </w:rPr>
            </w:pPr>
            <w:r w:rsidRPr="008325B3">
              <w:rPr>
                <w:rFonts w:cs="Times New Roman"/>
                <w:b/>
                <w:bCs/>
                <w:sz w:val="20"/>
                <w:szCs w:val="20"/>
              </w:rPr>
              <w:t xml:space="preserve">Uwaga wyjaśniona </w:t>
            </w:r>
            <w:r w:rsidRPr="008325B3">
              <w:rPr>
                <w:rFonts w:cs="Times New Roman"/>
                <w:sz w:val="20"/>
                <w:szCs w:val="20"/>
              </w:rPr>
              <w:t>- por. wyżej.</w:t>
            </w:r>
            <w:r w:rsidRPr="008325B3">
              <w:rPr>
                <w:rFonts w:cs="Times New Roman"/>
                <w:b/>
                <w:bCs/>
                <w:sz w:val="20"/>
                <w:szCs w:val="20"/>
              </w:rPr>
              <w:t xml:space="preserve"> </w:t>
            </w:r>
          </w:p>
          <w:p w14:paraId="0634EF30" w14:textId="4A80DC26" w:rsidR="00536AE1" w:rsidRPr="008325B3" w:rsidRDefault="00536AE1" w:rsidP="00D66757">
            <w:pPr>
              <w:jc w:val="both"/>
              <w:rPr>
                <w:rFonts w:cs="Times New Roman"/>
                <w:sz w:val="20"/>
                <w:szCs w:val="20"/>
              </w:rPr>
            </w:pPr>
          </w:p>
        </w:tc>
      </w:tr>
      <w:tr w:rsidR="00C74CF8" w:rsidRPr="00D567C8" w14:paraId="0E9C570C" w14:textId="77777777" w:rsidTr="00F0600D">
        <w:trPr>
          <w:trHeight w:val="812"/>
        </w:trPr>
        <w:tc>
          <w:tcPr>
            <w:tcW w:w="834" w:type="dxa"/>
          </w:tcPr>
          <w:p w14:paraId="1853847D" w14:textId="333899B6" w:rsidR="00C74CF8" w:rsidRPr="008325B3" w:rsidRDefault="00974159" w:rsidP="00E36D10">
            <w:pPr>
              <w:tabs>
                <w:tab w:val="left" w:pos="360"/>
              </w:tabs>
              <w:jc w:val="center"/>
              <w:rPr>
                <w:rFonts w:cs="Times New Roman"/>
                <w:sz w:val="20"/>
                <w:szCs w:val="20"/>
              </w:rPr>
            </w:pPr>
            <w:r w:rsidRPr="008325B3">
              <w:rPr>
                <w:rFonts w:cs="Times New Roman"/>
                <w:sz w:val="20"/>
                <w:szCs w:val="20"/>
              </w:rPr>
              <w:t>20</w:t>
            </w:r>
          </w:p>
        </w:tc>
        <w:tc>
          <w:tcPr>
            <w:tcW w:w="1566" w:type="dxa"/>
          </w:tcPr>
          <w:p w14:paraId="570E65BB" w14:textId="1EC4239B" w:rsidR="00C74CF8" w:rsidRPr="008325B3" w:rsidRDefault="00C74CF8" w:rsidP="00E36D10">
            <w:pPr>
              <w:jc w:val="center"/>
              <w:rPr>
                <w:rFonts w:cs="Times New Roman"/>
                <w:b/>
                <w:bCs/>
                <w:sz w:val="20"/>
                <w:szCs w:val="20"/>
              </w:rPr>
            </w:pPr>
            <w:r w:rsidRPr="008325B3">
              <w:rPr>
                <w:rFonts w:cs="Times New Roman"/>
                <w:b/>
                <w:bCs/>
                <w:sz w:val="20"/>
                <w:szCs w:val="20"/>
              </w:rPr>
              <w:t>Uwagi ogólne</w:t>
            </w:r>
          </w:p>
        </w:tc>
        <w:tc>
          <w:tcPr>
            <w:tcW w:w="2131" w:type="dxa"/>
          </w:tcPr>
          <w:p w14:paraId="4D3B9981" w14:textId="305A4E18" w:rsidR="00C74CF8" w:rsidRPr="008325B3" w:rsidRDefault="00C74CF8" w:rsidP="00E36D10">
            <w:pPr>
              <w:jc w:val="center"/>
              <w:rPr>
                <w:rFonts w:cs="Times New Roman"/>
                <w:sz w:val="20"/>
                <w:szCs w:val="20"/>
              </w:rPr>
            </w:pPr>
            <w:r w:rsidRPr="008325B3">
              <w:rPr>
                <w:rFonts w:cs="Times New Roman"/>
                <w:b/>
                <w:bCs/>
                <w:sz w:val="20"/>
                <w:szCs w:val="20"/>
              </w:rPr>
              <w:t>Prezes SA w Katowicach</w:t>
            </w:r>
            <w:r w:rsidRPr="008325B3">
              <w:rPr>
                <w:rFonts w:cs="Times New Roman"/>
                <w:sz w:val="20"/>
                <w:szCs w:val="20"/>
              </w:rPr>
              <w:t xml:space="preserve"> (Prezes SO w Częstochowie – sędziowie VIII Wydziału Gospodarczego SR w Częstochowie)</w:t>
            </w:r>
          </w:p>
          <w:p w14:paraId="5E61AB39" w14:textId="77777777" w:rsidR="00C74CF8" w:rsidRPr="008325B3" w:rsidRDefault="00C74CF8" w:rsidP="00E36D10">
            <w:pPr>
              <w:jc w:val="center"/>
              <w:rPr>
                <w:rFonts w:cs="Times New Roman"/>
                <w:b/>
                <w:bCs/>
                <w:sz w:val="20"/>
                <w:szCs w:val="20"/>
              </w:rPr>
            </w:pPr>
          </w:p>
        </w:tc>
        <w:tc>
          <w:tcPr>
            <w:tcW w:w="4962" w:type="dxa"/>
          </w:tcPr>
          <w:p w14:paraId="6424673B" w14:textId="77777777" w:rsidR="00C74CF8" w:rsidRPr="008325B3" w:rsidRDefault="00C74CF8" w:rsidP="00C74CF8">
            <w:pPr>
              <w:pStyle w:val="Default"/>
              <w:jc w:val="both"/>
              <w:rPr>
                <w:rFonts w:ascii="Times New Roman" w:hAnsi="Times New Roman" w:cs="Times New Roman"/>
                <w:color w:val="auto"/>
                <w:sz w:val="20"/>
                <w:szCs w:val="20"/>
              </w:rPr>
            </w:pPr>
            <w:r w:rsidRPr="008325B3">
              <w:rPr>
                <w:rFonts w:ascii="Times New Roman" w:hAnsi="Times New Roman" w:cs="Times New Roman"/>
                <w:color w:val="auto"/>
                <w:sz w:val="20"/>
                <w:szCs w:val="20"/>
              </w:rPr>
              <w:t xml:space="preserve">W treści proj. rozporządzenia należy zawrzeć rozwiązanie, aby dokumenty doręczane pełnomocnikom przez PI: </w:t>
            </w:r>
          </w:p>
          <w:p w14:paraId="6399300D" w14:textId="77777777" w:rsidR="00C74CF8" w:rsidRPr="008325B3" w:rsidRDefault="00C74CF8" w:rsidP="00C74CF8">
            <w:pPr>
              <w:pStyle w:val="Default"/>
              <w:jc w:val="both"/>
              <w:rPr>
                <w:rFonts w:ascii="Times New Roman" w:hAnsi="Times New Roman" w:cs="Times New Roman"/>
                <w:color w:val="auto"/>
                <w:sz w:val="20"/>
                <w:szCs w:val="20"/>
              </w:rPr>
            </w:pPr>
            <w:r w:rsidRPr="008325B3">
              <w:rPr>
                <w:rFonts w:ascii="Times New Roman" w:hAnsi="Times New Roman" w:cs="Times New Roman"/>
                <w:color w:val="auto"/>
                <w:sz w:val="20"/>
                <w:szCs w:val="20"/>
              </w:rPr>
              <w:t xml:space="preserve">- albo nie były umieszczane odrębnie w zakładce </w:t>
            </w:r>
            <w:r w:rsidRPr="008325B3">
              <w:rPr>
                <w:rFonts w:ascii="Times New Roman" w:hAnsi="Times New Roman" w:cs="Times New Roman"/>
                <w:i/>
                <w:iCs/>
                <w:color w:val="auto"/>
                <w:sz w:val="20"/>
                <w:szCs w:val="20"/>
              </w:rPr>
              <w:t>„Dokumenty”</w:t>
            </w:r>
            <w:r w:rsidRPr="008325B3">
              <w:rPr>
                <w:rFonts w:ascii="Times New Roman" w:hAnsi="Times New Roman" w:cs="Times New Roman"/>
                <w:color w:val="auto"/>
                <w:sz w:val="20"/>
                <w:szCs w:val="20"/>
              </w:rPr>
              <w:t xml:space="preserve"> (lecz tylko w </w:t>
            </w:r>
            <w:r w:rsidRPr="008325B3">
              <w:rPr>
                <w:rFonts w:ascii="Times New Roman" w:hAnsi="Times New Roman" w:cs="Times New Roman"/>
                <w:i/>
                <w:iCs/>
                <w:color w:val="auto"/>
                <w:sz w:val="20"/>
                <w:szCs w:val="20"/>
              </w:rPr>
              <w:t>„Moje doręczenia”</w:t>
            </w:r>
            <w:r w:rsidRPr="008325B3">
              <w:rPr>
                <w:rFonts w:ascii="Times New Roman" w:hAnsi="Times New Roman" w:cs="Times New Roman"/>
                <w:color w:val="auto"/>
                <w:sz w:val="20"/>
                <w:szCs w:val="20"/>
              </w:rPr>
              <w:t xml:space="preserve">), </w:t>
            </w:r>
          </w:p>
          <w:p w14:paraId="06D558F7" w14:textId="77777777" w:rsidR="00C74CF8" w:rsidRPr="008325B3" w:rsidRDefault="00C74CF8" w:rsidP="00C74CF8">
            <w:pPr>
              <w:pStyle w:val="Default"/>
              <w:jc w:val="both"/>
              <w:rPr>
                <w:rFonts w:ascii="Times New Roman" w:hAnsi="Times New Roman" w:cs="Times New Roman"/>
                <w:color w:val="auto"/>
                <w:sz w:val="20"/>
                <w:szCs w:val="20"/>
              </w:rPr>
            </w:pPr>
            <w:r w:rsidRPr="008325B3">
              <w:rPr>
                <w:rFonts w:ascii="Times New Roman" w:hAnsi="Times New Roman" w:cs="Times New Roman"/>
                <w:color w:val="auto"/>
                <w:sz w:val="20"/>
                <w:szCs w:val="20"/>
              </w:rPr>
              <w:t xml:space="preserve">- albo aby ich otwarcie przez pełnomocnika w zakładce </w:t>
            </w:r>
            <w:r w:rsidRPr="008325B3">
              <w:rPr>
                <w:rFonts w:ascii="Times New Roman" w:hAnsi="Times New Roman" w:cs="Times New Roman"/>
                <w:i/>
                <w:iCs/>
                <w:color w:val="auto"/>
                <w:sz w:val="20"/>
                <w:szCs w:val="20"/>
              </w:rPr>
              <w:t>„Dokumenty”</w:t>
            </w:r>
            <w:r w:rsidRPr="008325B3">
              <w:rPr>
                <w:rFonts w:ascii="Times New Roman" w:hAnsi="Times New Roman" w:cs="Times New Roman"/>
                <w:color w:val="auto"/>
                <w:sz w:val="20"/>
                <w:szCs w:val="20"/>
              </w:rPr>
              <w:t xml:space="preserve"> powodowało automatycznie, że staną się dla takiego pełnomocnika dokumentem odebranym (w zakładce </w:t>
            </w:r>
            <w:r w:rsidRPr="008325B3">
              <w:rPr>
                <w:rFonts w:ascii="Times New Roman" w:hAnsi="Times New Roman" w:cs="Times New Roman"/>
                <w:i/>
                <w:iCs/>
                <w:color w:val="auto"/>
                <w:sz w:val="20"/>
                <w:szCs w:val="20"/>
              </w:rPr>
              <w:t>„Moje doręczenia”</w:t>
            </w:r>
            <w:r w:rsidRPr="008325B3">
              <w:rPr>
                <w:rFonts w:ascii="Times New Roman" w:hAnsi="Times New Roman" w:cs="Times New Roman"/>
                <w:color w:val="auto"/>
                <w:sz w:val="20"/>
                <w:szCs w:val="20"/>
              </w:rPr>
              <w:t xml:space="preserve">). </w:t>
            </w:r>
          </w:p>
          <w:p w14:paraId="41C2A0F8" w14:textId="77777777" w:rsidR="00C74CF8" w:rsidRPr="008325B3" w:rsidRDefault="00C74CF8" w:rsidP="00C74CF8">
            <w:pPr>
              <w:pStyle w:val="Default"/>
              <w:jc w:val="both"/>
              <w:rPr>
                <w:rFonts w:ascii="Times New Roman" w:hAnsi="Times New Roman" w:cs="Times New Roman"/>
                <w:color w:val="auto"/>
                <w:sz w:val="20"/>
                <w:szCs w:val="20"/>
              </w:rPr>
            </w:pPr>
            <w:r w:rsidRPr="008325B3">
              <w:rPr>
                <w:rFonts w:ascii="Times New Roman" w:hAnsi="Times New Roman" w:cs="Times New Roman"/>
                <w:color w:val="auto"/>
                <w:sz w:val="20"/>
                <w:szCs w:val="20"/>
              </w:rPr>
              <w:lastRenderedPageBreak/>
              <w:t xml:space="preserve">Uwaga ta dotyczy bowiem sytuacji, gdy pełnomocnicy odczytują dokumenty (np. zobowiązanie, wyrok czy uzasadnienie), w zakładce </w:t>
            </w:r>
            <w:r w:rsidRPr="008325B3">
              <w:rPr>
                <w:rFonts w:ascii="Times New Roman" w:hAnsi="Times New Roman" w:cs="Times New Roman"/>
                <w:i/>
                <w:iCs/>
                <w:color w:val="auto"/>
                <w:sz w:val="20"/>
                <w:szCs w:val="20"/>
              </w:rPr>
              <w:t>„Dokumenty”</w:t>
            </w:r>
            <w:r w:rsidRPr="008325B3">
              <w:rPr>
                <w:rFonts w:ascii="Times New Roman" w:hAnsi="Times New Roman" w:cs="Times New Roman"/>
                <w:color w:val="auto"/>
                <w:sz w:val="20"/>
                <w:szCs w:val="20"/>
              </w:rPr>
              <w:t xml:space="preserve"> a ten sam dokument, doręczony poprzez </w:t>
            </w:r>
            <w:r w:rsidRPr="008325B3">
              <w:rPr>
                <w:rFonts w:ascii="Times New Roman" w:hAnsi="Times New Roman" w:cs="Times New Roman"/>
                <w:i/>
                <w:iCs/>
                <w:color w:val="auto"/>
                <w:sz w:val="20"/>
                <w:szCs w:val="20"/>
              </w:rPr>
              <w:t>„Moje doręczenia”</w:t>
            </w:r>
            <w:r w:rsidRPr="008325B3">
              <w:rPr>
                <w:rFonts w:ascii="Times New Roman" w:hAnsi="Times New Roman" w:cs="Times New Roman"/>
                <w:color w:val="auto"/>
                <w:sz w:val="20"/>
                <w:szCs w:val="20"/>
              </w:rPr>
              <w:t xml:space="preserve"> pozostaje cały czas nieodebrany. Wówczas, jego odbiór np. w 14 dniu (lub w ogóle nieodebranie pisma i jego awizowanie oraz dalszy zwrot), powoduje, że np.  termin do napisania apelacji wynosi nie 14 dni</w:t>
            </w:r>
            <w:r w:rsidRPr="008325B3">
              <w:rPr>
                <w:rFonts w:cs="Times New Roman"/>
                <w:color w:val="auto"/>
                <w:sz w:val="20"/>
                <w:szCs w:val="20"/>
              </w:rPr>
              <w:t xml:space="preserve"> </w:t>
            </w:r>
            <w:r w:rsidRPr="008325B3">
              <w:rPr>
                <w:rFonts w:ascii="Times New Roman" w:hAnsi="Times New Roman" w:cs="Times New Roman"/>
                <w:color w:val="auto"/>
                <w:sz w:val="20"/>
                <w:szCs w:val="20"/>
              </w:rPr>
              <w:t xml:space="preserve">(jak wskazuje k.p.c.), lecz 28 dni (14 dni awizowanie + 14 dni na wniesienie apelacji), podczas, gdy pełnomocnik otwierając plik uzasadnienia w zakładce </w:t>
            </w:r>
            <w:r w:rsidRPr="008325B3">
              <w:rPr>
                <w:rFonts w:ascii="Times New Roman" w:hAnsi="Times New Roman" w:cs="Times New Roman"/>
                <w:i/>
                <w:iCs/>
                <w:color w:val="auto"/>
                <w:sz w:val="20"/>
                <w:szCs w:val="20"/>
              </w:rPr>
              <w:t>„Dokumenty”</w:t>
            </w:r>
            <w:r w:rsidRPr="008325B3">
              <w:rPr>
                <w:rFonts w:ascii="Times New Roman" w:hAnsi="Times New Roman" w:cs="Times New Roman"/>
                <w:color w:val="auto"/>
                <w:sz w:val="20"/>
                <w:szCs w:val="20"/>
              </w:rPr>
              <w:t xml:space="preserve"> może zapoznać się z nim już 1. dnia po opublikowaniu w PI. Sytuacja taka nie może być akceptowana, bowiem dochodzi wówczas do pozaustawowego wydłużenia terminów. Podobnie sytuacja ma się do pozostałych pism doręczanych przez PI – np. zarządzenia kierowane do pełnomocnika (z rygorem np. 7 dni) może być wydłużone do 21 dni (7 dni z rygoru + 14 dni awizowania), choć pełnomocnik zapozna się z jego treścią, już w dniu opublikowania na PI. </w:t>
            </w:r>
          </w:p>
          <w:p w14:paraId="63F27FF3" w14:textId="77777777" w:rsidR="00C74CF8" w:rsidRPr="008325B3" w:rsidRDefault="00C74CF8" w:rsidP="00C74CF8">
            <w:pPr>
              <w:autoSpaceDE w:val="0"/>
              <w:autoSpaceDN w:val="0"/>
              <w:adjustRightInd w:val="0"/>
              <w:jc w:val="both"/>
              <w:rPr>
                <w:rFonts w:cs="Times New Roman"/>
                <w:sz w:val="20"/>
                <w:szCs w:val="20"/>
              </w:rPr>
            </w:pPr>
          </w:p>
        </w:tc>
        <w:tc>
          <w:tcPr>
            <w:tcW w:w="4816" w:type="dxa"/>
          </w:tcPr>
          <w:p w14:paraId="17E9F688" w14:textId="77777777" w:rsidR="00C74CF8" w:rsidRPr="008325B3" w:rsidRDefault="0048102F" w:rsidP="001D61D2">
            <w:pPr>
              <w:jc w:val="both"/>
              <w:rPr>
                <w:b/>
                <w:bCs/>
                <w:sz w:val="20"/>
                <w:szCs w:val="20"/>
              </w:rPr>
            </w:pPr>
            <w:r w:rsidRPr="008325B3">
              <w:rPr>
                <w:b/>
                <w:bCs/>
                <w:sz w:val="20"/>
                <w:szCs w:val="20"/>
              </w:rPr>
              <w:lastRenderedPageBreak/>
              <w:t xml:space="preserve">Uwaga wyjaśniona. </w:t>
            </w:r>
          </w:p>
          <w:p w14:paraId="7487B30E" w14:textId="7B1C9B57" w:rsidR="0048102F" w:rsidRPr="008325B3" w:rsidRDefault="0048102F" w:rsidP="001D61D2">
            <w:pPr>
              <w:jc w:val="both"/>
              <w:rPr>
                <w:rFonts w:cs="Times New Roman"/>
                <w:sz w:val="20"/>
                <w:szCs w:val="20"/>
              </w:rPr>
            </w:pPr>
            <w:r w:rsidRPr="008325B3">
              <w:rPr>
                <w:rFonts w:cs="Times New Roman"/>
                <w:sz w:val="20"/>
                <w:szCs w:val="20"/>
              </w:rPr>
              <w:t>P</w:t>
            </w:r>
            <w:r w:rsidR="00974E10" w:rsidRPr="008325B3">
              <w:rPr>
                <w:rFonts w:cs="Times New Roman"/>
                <w:sz w:val="20"/>
                <w:szCs w:val="20"/>
              </w:rPr>
              <w:t xml:space="preserve">I </w:t>
            </w:r>
            <w:r w:rsidRPr="008325B3">
              <w:rPr>
                <w:rFonts w:cs="Times New Roman"/>
                <w:sz w:val="20"/>
                <w:szCs w:val="20"/>
              </w:rPr>
              <w:t xml:space="preserve">nie jest systemem wyłącznie służącym do realizacji doręczeń sądowych. Zakładka „Dokumenty” powstała w celu realizacji funkcji informacyjnych i pozyskiwania przez osoby uczestniczące w postępowaniu sądowym informacji o aktualnym statusie ich sprawy. W zakładce tej publikowane są wszystkie pisma, w tym pisma, które jednocześnie podlegają odrębnemu doręczeniu sądowemu </w:t>
            </w:r>
            <w:r w:rsidRPr="008325B3">
              <w:rPr>
                <w:rFonts w:cs="Times New Roman"/>
                <w:sz w:val="20"/>
                <w:szCs w:val="20"/>
              </w:rPr>
              <w:lastRenderedPageBreak/>
              <w:t>za pośrednictwem zakładki „Moje doręczenia” względem określonych, usprawnionych podmiotów. Dokumenty podlegające doręczeniu stanowią jedynie pewną część wszystkich pism publikowanych w P</w:t>
            </w:r>
            <w:r w:rsidR="00974E10" w:rsidRPr="008325B3">
              <w:rPr>
                <w:rFonts w:cs="Times New Roman"/>
                <w:sz w:val="20"/>
                <w:szCs w:val="20"/>
              </w:rPr>
              <w:t>I</w:t>
            </w:r>
            <w:r w:rsidRPr="008325B3">
              <w:rPr>
                <w:rFonts w:cs="Times New Roman"/>
                <w:sz w:val="20"/>
                <w:szCs w:val="20"/>
              </w:rPr>
              <w:t>. Nowelizacja z dnia 7 lipca 2023 r. rozszerza katalog podmiotowy i przedmiotowy doręczeń elektronicznych za pośrednictwem PI, niemniej w dalszym zakresie w stosunku do szerokiego grona odbiorców doręczenie pisma sądowego będzie odbywało się drogą tradycyjną (osoby niebędące pełnomocnikami zawodowymi). Wyłącznie zakładki „Dokumenty” wiązałoby się z sytuacją, w której osoby te tracą istotne udogodnienia w zakresie pozyskiwania informacji o sprawie sądowej.</w:t>
            </w:r>
          </w:p>
          <w:p w14:paraId="7E50C823" w14:textId="4D0D2547" w:rsidR="0048102F" w:rsidRPr="008325B3" w:rsidRDefault="00993522" w:rsidP="0048102F">
            <w:pPr>
              <w:jc w:val="both"/>
              <w:rPr>
                <w:rFonts w:cs="Times New Roman"/>
                <w:sz w:val="20"/>
                <w:szCs w:val="20"/>
              </w:rPr>
            </w:pPr>
            <w:r w:rsidRPr="008325B3">
              <w:rPr>
                <w:rFonts w:cs="Times New Roman"/>
                <w:sz w:val="20"/>
                <w:szCs w:val="20"/>
              </w:rPr>
              <w:t>W</w:t>
            </w:r>
            <w:r w:rsidR="0048102F" w:rsidRPr="008325B3">
              <w:rPr>
                <w:rFonts w:cs="Times New Roman"/>
                <w:sz w:val="20"/>
                <w:szCs w:val="20"/>
              </w:rPr>
              <w:t xml:space="preserve">spółegzystowanie wskazanych dwóch zakładek nie powoduje faktycznego wydłużenia terminów procesowych, a w przypadku realizacji doręczenia sądowego </w:t>
            </w:r>
            <w:r w:rsidRPr="008325B3">
              <w:rPr>
                <w:rFonts w:cs="Times New Roman"/>
                <w:sz w:val="20"/>
                <w:szCs w:val="20"/>
              </w:rPr>
              <w:t xml:space="preserve"> </w:t>
            </w:r>
            <w:r w:rsidR="0048102F" w:rsidRPr="008325B3">
              <w:rPr>
                <w:rFonts w:cs="Times New Roman"/>
                <w:sz w:val="20"/>
                <w:szCs w:val="20"/>
              </w:rPr>
              <w:t xml:space="preserve">drogą tradycyjną pełnomocnik zawodowy (jak również inne osoby występujące w sprawie) także </w:t>
            </w:r>
          </w:p>
          <w:p w14:paraId="7C1AEE55" w14:textId="77777777" w:rsidR="0048102F" w:rsidRPr="008325B3" w:rsidRDefault="0048102F" w:rsidP="0048102F">
            <w:pPr>
              <w:jc w:val="both"/>
              <w:rPr>
                <w:rFonts w:cs="Times New Roman"/>
                <w:sz w:val="20"/>
                <w:szCs w:val="20"/>
              </w:rPr>
            </w:pPr>
            <w:r w:rsidRPr="008325B3">
              <w:rPr>
                <w:rFonts w:cs="Times New Roman"/>
                <w:sz w:val="20"/>
                <w:szCs w:val="20"/>
              </w:rPr>
              <w:t>posiadają możliwość wcześniejszego zapoznania się z treścią pisma w zakładce „Dokumenty”.</w:t>
            </w:r>
          </w:p>
          <w:p w14:paraId="71DAFCA9" w14:textId="6CE70021" w:rsidR="0048102F" w:rsidRPr="008325B3" w:rsidRDefault="0048102F" w:rsidP="0048102F">
            <w:pPr>
              <w:jc w:val="both"/>
              <w:rPr>
                <w:rFonts w:cs="Times New Roman"/>
                <w:sz w:val="20"/>
                <w:szCs w:val="20"/>
              </w:rPr>
            </w:pPr>
            <w:r w:rsidRPr="008325B3">
              <w:rPr>
                <w:rFonts w:cs="Times New Roman"/>
                <w:sz w:val="20"/>
                <w:szCs w:val="20"/>
              </w:rPr>
              <w:t>Uwzględniając zaś terminy realizacji usług pocztowych za pośrednictwem operatora wyznaczonego, realizacja doręczeń sądowych za pośrednictwem P</w:t>
            </w:r>
            <w:r w:rsidR="00993522" w:rsidRPr="008325B3">
              <w:rPr>
                <w:rFonts w:cs="Times New Roman"/>
                <w:sz w:val="20"/>
                <w:szCs w:val="20"/>
              </w:rPr>
              <w:t xml:space="preserve">I </w:t>
            </w:r>
            <w:r w:rsidRPr="008325B3">
              <w:rPr>
                <w:rFonts w:cs="Times New Roman"/>
                <w:sz w:val="20"/>
                <w:szCs w:val="20"/>
              </w:rPr>
              <w:t>w sposób faktyczny przyspiesza wystąpienie skutku doręczenia</w:t>
            </w:r>
            <w:r w:rsidRPr="008325B3">
              <w:t xml:space="preserve"> </w:t>
            </w:r>
            <w:r w:rsidRPr="008325B3">
              <w:rPr>
                <w:rFonts w:cs="Times New Roman"/>
                <w:sz w:val="20"/>
                <w:szCs w:val="20"/>
              </w:rPr>
              <w:t xml:space="preserve">pozostawienie dostępu do zakładki „Dokumenty” przy związaniu skutku doręczenia z zamieszczeniem/odczytem dokumenty w zakładce „Moje Doręczenia” było w pełni świadome. </w:t>
            </w:r>
          </w:p>
          <w:p w14:paraId="692369BD" w14:textId="654D149F" w:rsidR="0048102F" w:rsidRPr="0048102F" w:rsidRDefault="0048102F" w:rsidP="00993522">
            <w:pPr>
              <w:jc w:val="both"/>
              <w:rPr>
                <w:rFonts w:cs="Times New Roman"/>
                <w:sz w:val="20"/>
                <w:szCs w:val="20"/>
              </w:rPr>
            </w:pPr>
            <w:r w:rsidRPr="008325B3">
              <w:rPr>
                <w:rFonts w:cs="Times New Roman"/>
                <w:sz w:val="20"/>
                <w:szCs w:val="20"/>
              </w:rPr>
              <w:t>Należy pamiętać, że co najmniej od roku 2009 widoczna była w P</w:t>
            </w:r>
            <w:r w:rsidR="00993522" w:rsidRPr="008325B3">
              <w:rPr>
                <w:rFonts w:cs="Times New Roman"/>
                <w:sz w:val="20"/>
                <w:szCs w:val="20"/>
              </w:rPr>
              <w:t xml:space="preserve">I </w:t>
            </w:r>
            <w:r w:rsidRPr="008325B3">
              <w:rPr>
                <w:rFonts w:cs="Times New Roman"/>
                <w:sz w:val="20"/>
                <w:szCs w:val="20"/>
              </w:rPr>
              <w:t xml:space="preserve">praktyka odczytywania dokumentów i opóźniania następnie odbierania dokumentów przesyłanych drogą pocztową w ostatnim możliwym terminie. Taka praktyka zatem od wielu lat towarzyszy działaniu PI i nie budziła zastrzeżeń ani też nie </w:t>
            </w:r>
            <w:r w:rsidRPr="008325B3">
              <w:rPr>
                <w:rFonts w:cs="Times New Roman"/>
                <w:sz w:val="20"/>
                <w:szCs w:val="20"/>
              </w:rPr>
              <w:lastRenderedPageBreak/>
              <w:t xml:space="preserve">wywoływała potrzeby korekt. Ta sama sytuacja – znana od wielu lat – sytuacja występuje w sytuacji doręczeń elektronicznych z wykorzystaniem PI. Obecnie jednak czas faktyczny na wykonanie czynności ulega skróceniu z uwagi na szybszy (wobec obiegu pocztowego) czas obiegu korespondencji. Dodatkowo należy zauważyć, że postulowana w uwagach PSA w Katowicach zmiana wywołałaby znaczny opór zawodowych pełnomocników (jak też użytkowników instytucjonalnych). Wprowadzanie takiej zmiany na etapie rozporządzeń jest przy tym niezasadne, wypada bowiem zauważyć, że sytuacja ta była również znana na etapie </w:t>
            </w:r>
            <w:r w:rsidRPr="008325B3">
              <w:t xml:space="preserve"> </w:t>
            </w:r>
            <w:r w:rsidRPr="008325B3">
              <w:rPr>
                <w:rFonts w:cs="Times New Roman"/>
                <w:sz w:val="20"/>
                <w:szCs w:val="20"/>
              </w:rPr>
              <w:t>procedowania zmian ustawowych – mechanizm istniejący od lat był bowiem wspomniany w projekcie ustawy. Wobec powyższego wskazana uwaga nie jest możliwa do przyjęcia. Wypada dostrzec, że efektem uwagi może być odejście od modelu doręczeń przez PI. Oznaczałoby to przy tym wydłużenie terminów wykonywania czynności sądowych bowiem w odróżnieniu od czynności pocztowych czas efektywnego doręczenia przez PI wynosi poniżej 3 dni.</w:t>
            </w:r>
          </w:p>
        </w:tc>
      </w:tr>
    </w:tbl>
    <w:p w14:paraId="10D1EA70" w14:textId="77777777" w:rsidR="00D567C8" w:rsidRDefault="00D567C8" w:rsidP="008E7C37">
      <w:pPr>
        <w:rPr>
          <w:rFonts w:cs="Times New Roman"/>
          <w:sz w:val="20"/>
          <w:szCs w:val="20"/>
        </w:rPr>
      </w:pPr>
    </w:p>
    <w:p w14:paraId="559E0E92" w14:textId="77777777" w:rsidR="00ED2C85" w:rsidRPr="00D567C8" w:rsidRDefault="00ED2C85" w:rsidP="008E7C37">
      <w:pPr>
        <w:rPr>
          <w:rFonts w:cs="Times New Roman"/>
          <w:sz w:val="20"/>
          <w:szCs w:val="20"/>
        </w:rPr>
      </w:pPr>
    </w:p>
    <w:sectPr w:rsidR="00ED2C85" w:rsidRPr="00D567C8" w:rsidSect="005E0285">
      <w:footerReference w:type="default" r:id="rId8"/>
      <w:pgSz w:w="16838" w:h="11906" w:orient="landscape"/>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097C" w14:textId="77777777" w:rsidR="005E0285" w:rsidRDefault="005E0285" w:rsidP="0048102F">
      <w:pPr>
        <w:spacing w:after="0" w:line="240" w:lineRule="auto"/>
      </w:pPr>
      <w:r>
        <w:separator/>
      </w:r>
    </w:p>
  </w:endnote>
  <w:endnote w:type="continuationSeparator" w:id="0">
    <w:p w14:paraId="09F012F1" w14:textId="77777777" w:rsidR="005E0285" w:rsidRDefault="005E0285" w:rsidP="00481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rlow">
    <w:charset w:val="EE"/>
    <w:family w:val="auto"/>
    <w:pitch w:val="variable"/>
    <w:sig w:usb0="20000007" w:usb1="00000000" w:usb2="00000000" w:usb3="00000000" w:csb0="00000193"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531458"/>
      <w:docPartObj>
        <w:docPartGallery w:val="Page Numbers (Bottom of Page)"/>
        <w:docPartUnique/>
      </w:docPartObj>
    </w:sdtPr>
    <w:sdtContent>
      <w:p w14:paraId="0CC3AE1B" w14:textId="78FFE4E1" w:rsidR="0048102F" w:rsidRDefault="0048102F">
        <w:pPr>
          <w:pStyle w:val="Stopka"/>
          <w:jc w:val="center"/>
        </w:pPr>
        <w:r>
          <w:fldChar w:fldCharType="begin"/>
        </w:r>
        <w:r>
          <w:instrText>PAGE   \* MERGEFORMAT</w:instrText>
        </w:r>
        <w:r>
          <w:fldChar w:fldCharType="separate"/>
        </w:r>
        <w:r>
          <w:t>2</w:t>
        </w:r>
        <w:r>
          <w:fldChar w:fldCharType="end"/>
        </w:r>
      </w:p>
    </w:sdtContent>
  </w:sdt>
  <w:p w14:paraId="2A8178FD" w14:textId="77777777" w:rsidR="0048102F" w:rsidRDefault="004810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0DE4A" w14:textId="77777777" w:rsidR="005E0285" w:rsidRDefault="005E0285" w:rsidP="0048102F">
      <w:pPr>
        <w:spacing w:after="0" w:line="240" w:lineRule="auto"/>
      </w:pPr>
      <w:r>
        <w:separator/>
      </w:r>
    </w:p>
  </w:footnote>
  <w:footnote w:type="continuationSeparator" w:id="0">
    <w:p w14:paraId="17287C31" w14:textId="77777777" w:rsidR="005E0285" w:rsidRDefault="005E0285" w:rsidP="004810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D6ADF"/>
    <w:multiLevelType w:val="hybridMultilevel"/>
    <w:tmpl w:val="509250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657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3F"/>
    <w:rsid w:val="00001D08"/>
    <w:rsid w:val="00011E86"/>
    <w:rsid w:val="000125FE"/>
    <w:rsid w:val="00020CC3"/>
    <w:rsid w:val="00030EE1"/>
    <w:rsid w:val="000359DF"/>
    <w:rsid w:val="000373FD"/>
    <w:rsid w:val="0004003F"/>
    <w:rsid w:val="000414BF"/>
    <w:rsid w:val="000435FB"/>
    <w:rsid w:val="00043B09"/>
    <w:rsid w:val="0008460E"/>
    <w:rsid w:val="00085978"/>
    <w:rsid w:val="00092855"/>
    <w:rsid w:val="000A5C63"/>
    <w:rsid w:val="000A65CD"/>
    <w:rsid w:val="000D5886"/>
    <w:rsid w:val="000D5E3C"/>
    <w:rsid w:val="000D6432"/>
    <w:rsid w:val="000E5868"/>
    <w:rsid w:val="000E5E20"/>
    <w:rsid w:val="000F7913"/>
    <w:rsid w:val="000F7C31"/>
    <w:rsid w:val="00101C1A"/>
    <w:rsid w:val="00110FBE"/>
    <w:rsid w:val="00130A44"/>
    <w:rsid w:val="00142A32"/>
    <w:rsid w:val="00143F3C"/>
    <w:rsid w:val="0014401F"/>
    <w:rsid w:val="001561D9"/>
    <w:rsid w:val="00162230"/>
    <w:rsid w:val="00162E92"/>
    <w:rsid w:val="00163421"/>
    <w:rsid w:val="001710B2"/>
    <w:rsid w:val="0017646B"/>
    <w:rsid w:val="00184BD3"/>
    <w:rsid w:val="00192503"/>
    <w:rsid w:val="001B3349"/>
    <w:rsid w:val="001C1EEA"/>
    <w:rsid w:val="001C79B2"/>
    <w:rsid w:val="001D0380"/>
    <w:rsid w:val="001D2343"/>
    <w:rsid w:val="001D61D2"/>
    <w:rsid w:val="001D7CA8"/>
    <w:rsid w:val="001E0D9B"/>
    <w:rsid w:val="001E3773"/>
    <w:rsid w:val="001E5209"/>
    <w:rsid w:val="001E5330"/>
    <w:rsid w:val="001E7E9B"/>
    <w:rsid w:val="001F4286"/>
    <w:rsid w:val="001F5437"/>
    <w:rsid w:val="001F7C77"/>
    <w:rsid w:val="002022C6"/>
    <w:rsid w:val="00212269"/>
    <w:rsid w:val="00214A8C"/>
    <w:rsid w:val="0022279C"/>
    <w:rsid w:val="002265FA"/>
    <w:rsid w:val="00243DF8"/>
    <w:rsid w:val="00254EA8"/>
    <w:rsid w:val="00265EC8"/>
    <w:rsid w:val="00267FD7"/>
    <w:rsid w:val="00272982"/>
    <w:rsid w:val="0027547B"/>
    <w:rsid w:val="002866F8"/>
    <w:rsid w:val="00286FD7"/>
    <w:rsid w:val="002A0C4D"/>
    <w:rsid w:val="002A1A97"/>
    <w:rsid w:val="002B1673"/>
    <w:rsid w:val="002B284E"/>
    <w:rsid w:val="002B34AE"/>
    <w:rsid w:val="002D5B44"/>
    <w:rsid w:val="002D6771"/>
    <w:rsid w:val="002E17CE"/>
    <w:rsid w:val="002E5D52"/>
    <w:rsid w:val="002F461F"/>
    <w:rsid w:val="00303C4F"/>
    <w:rsid w:val="00311ED3"/>
    <w:rsid w:val="00312AB5"/>
    <w:rsid w:val="00315A09"/>
    <w:rsid w:val="00322C71"/>
    <w:rsid w:val="00336C79"/>
    <w:rsid w:val="00337411"/>
    <w:rsid w:val="00340B47"/>
    <w:rsid w:val="003421F1"/>
    <w:rsid w:val="003523C7"/>
    <w:rsid w:val="00370EE8"/>
    <w:rsid w:val="003712AE"/>
    <w:rsid w:val="00374486"/>
    <w:rsid w:val="00383674"/>
    <w:rsid w:val="003939EA"/>
    <w:rsid w:val="00395E89"/>
    <w:rsid w:val="003A74E0"/>
    <w:rsid w:val="003B1F46"/>
    <w:rsid w:val="003B2DB8"/>
    <w:rsid w:val="003C2180"/>
    <w:rsid w:val="003C7996"/>
    <w:rsid w:val="003D1ECC"/>
    <w:rsid w:val="003D3FFB"/>
    <w:rsid w:val="003D611E"/>
    <w:rsid w:val="003D72FE"/>
    <w:rsid w:val="003E05C9"/>
    <w:rsid w:val="003E2AD5"/>
    <w:rsid w:val="003E36E4"/>
    <w:rsid w:val="003E545A"/>
    <w:rsid w:val="003E58B6"/>
    <w:rsid w:val="003F7B5D"/>
    <w:rsid w:val="00403743"/>
    <w:rsid w:val="00405A5D"/>
    <w:rsid w:val="00411C4F"/>
    <w:rsid w:val="00415CD9"/>
    <w:rsid w:val="00416510"/>
    <w:rsid w:val="004230D8"/>
    <w:rsid w:val="00445E45"/>
    <w:rsid w:val="00452D7D"/>
    <w:rsid w:val="00460B16"/>
    <w:rsid w:val="00463BE3"/>
    <w:rsid w:val="004642BB"/>
    <w:rsid w:val="00465149"/>
    <w:rsid w:val="00472F43"/>
    <w:rsid w:val="00474985"/>
    <w:rsid w:val="00474E9D"/>
    <w:rsid w:val="0048102F"/>
    <w:rsid w:val="00481030"/>
    <w:rsid w:val="004832D9"/>
    <w:rsid w:val="004A1BC6"/>
    <w:rsid w:val="004A1BFD"/>
    <w:rsid w:val="004A503C"/>
    <w:rsid w:val="004A62F9"/>
    <w:rsid w:val="004B0598"/>
    <w:rsid w:val="004B65CE"/>
    <w:rsid w:val="004C27B4"/>
    <w:rsid w:val="004C3A22"/>
    <w:rsid w:val="004D0BE1"/>
    <w:rsid w:val="004D29C9"/>
    <w:rsid w:val="004D4B17"/>
    <w:rsid w:val="004D62A9"/>
    <w:rsid w:val="004E296E"/>
    <w:rsid w:val="00503AFB"/>
    <w:rsid w:val="0050635C"/>
    <w:rsid w:val="00534571"/>
    <w:rsid w:val="00534B44"/>
    <w:rsid w:val="00536AE1"/>
    <w:rsid w:val="005428D9"/>
    <w:rsid w:val="00542990"/>
    <w:rsid w:val="00543EF6"/>
    <w:rsid w:val="00552CA7"/>
    <w:rsid w:val="00556E35"/>
    <w:rsid w:val="00561243"/>
    <w:rsid w:val="00566585"/>
    <w:rsid w:val="00572096"/>
    <w:rsid w:val="00583572"/>
    <w:rsid w:val="005A42CE"/>
    <w:rsid w:val="005A66EA"/>
    <w:rsid w:val="005B0D69"/>
    <w:rsid w:val="005B285B"/>
    <w:rsid w:val="005B7CE5"/>
    <w:rsid w:val="005C2B12"/>
    <w:rsid w:val="005C4BDE"/>
    <w:rsid w:val="005C5AE6"/>
    <w:rsid w:val="005C5C67"/>
    <w:rsid w:val="005D7320"/>
    <w:rsid w:val="005E0285"/>
    <w:rsid w:val="005E05B3"/>
    <w:rsid w:val="005E5DAA"/>
    <w:rsid w:val="005F5911"/>
    <w:rsid w:val="005F7B97"/>
    <w:rsid w:val="00605483"/>
    <w:rsid w:val="00605BC3"/>
    <w:rsid w:val="0061513B"/>
    <w:rsid w:val="006273C3"/>
    <w:rsid w:val="00667ABC"/>
    <w:rsid w:val="006848AC"/>
    <w:rsid w:val="00692DBB"/>
    <w:rsid w:val="006A61BE"/>
    <w:rsid w:val="006E2F61"/>
    <w:rsid w:val="006F3DBE"/>
    <w:rsid w:val="00710FC9"/>
    <w:rsid w:val="0071610D"/>
    <w:rsid w:val="00731264"/>
    <w:rsid w:val="007362AF"/>
    <w:rsid w:val="00736E9A"/>
    <w:rsid w:val="00741D8D"/>
    <w:rsid w:val="007431FB"/>
    <w:rsid w:val="00762458"/>
    <w:rsid w:val="007635DD"/>
    <w:rsid w:val="00763A09"/>
    <w:rsid w:val="00767AD4"/>
    <w:rsid w:val="00785358"/>
    <w:rsid w:val="0079621A"/>
    <w:rsid w:val="007B039B"/>
    <w:rsid w:val="007B2D31"/>
    <w:rsid w:val="007B7DEC"/>
    <w:rsid w:val="007C04B2"/>
    <w:rsid w:val="007C06E1"/>
    <w:rsid w:val="007D6E06"/>
    <w:rsid w:val="007D7353"/>
    <w:rsid w:val="007F6F5F"/>
    <w:rsid w:val="00817E88"/>
    <w:rsid w:val="00826F51"/>
    <w:rsid w:val="008325B3"/>
    <w:rsid w:val="008332FA"/>
    <w:rsid w:val="00847E56"/>
    <w:rsid w:val="0086115D"/>
    <w:rsid w:val="00861C0E"/>
    <w:rsid w:val="00862EAA"/>
    <w:rsid w:val="00865198"/>
    <w:rsid w:val="00870489"/>
    <w:rsid w:val="00870D8F"/>
    <w:rsid w:val="00874170"/>
    <w:rsid w:val="00875303"/>
    <w:rsid w:val="008754D4"/>
    <w:rsid w:val="008A16DE"/>
    <w:rsid w:val="008A2F18"/>
    <w:rsid w:val="008A6070"/>
    <w:rsid w:val="008C4739"/>
    <w:rsid w:val="008C51EE"/>
    <w:rsid w:val="008C52F6"/>
    <w:rsid w:val="008C5479"/>
    <w:rsid w:val="008D26D5"/>
    <w:rsid w:val="008D3110"/>
    <w:rsid w:val="008D4C70"/>
    <w:rsid w:val="008D7938"/>
    <w:rsid w:val="008E7C37"/>
    <w:rsid w:val="008F1F07"/>
    <w:rsid w:val="008F2D38"/>
    <w:rsid w:val="00920A4C"/>
    <w:rsid w:val="00920DE8"/>
    <w:rsid w:val="00923EC6"/>
    <w:rsid w:val="009260EF"/>
    <w:rsid w:val="00931844"/>
    <w:rsid w:val="009403CD"/>
    <w:rsid w:val="009740B4"/>
    <w:rsid w:val="00974159"/>
    <w:rsid w:val="00974D73"/>
    <w:rsid w:val="00974E10"/>
    <w:rsid w:val="00984866"/>
    <w:rsid w:val="00986C32"/>
    <w:rsid w:val="00991D93"/>
    <w:rsid w:val="00993522"/>
    <w:rsid w:val="00995428"/>
    <w:rsid w:val="009B1E71"/>
    <w:rsid w:val="009B601C"/>
    <w:rsid w:val="009B6766"/>
    <w:rsid w:val="009D5D47"/>
    <w:rsid w:val="009D620D"/>
    <w:rsid w:val="009D672F"/>
    <w:rsid w:val="009E697A"/>
    <w:rsid w:val="00A01459"/>
    <w:rsid w:val="00A03330"/>
    <w:rsid w:val="00A10E90"/>
    <w:rsid w:val="00A21775"/>
    <w:rsid w:val="00A248D2"/>
    <w:rsid w:val="00A3692D"/>
    <w:rsid w:val="00A4440A"/>
    <w:rsid w:val="00A568BD"/>
    <w:rsid w:val="00A56BD8"/>
    <w:rsid w:val="00A63A47"/>
    <w:rsid w:val="00A7283D"/>
    <w:rsid w:val="00A80327"/>
    <w:rsid w:val="00A823EE"/>
    <w:rsid w:val="00A8442D"/>
    <w:rsid w:val="00A90EB3"/>
    <w:rsid w:val="00AB6B14"/>
    <w:rsid w:val="00AE2103"/>
    <w:rsid w:val="00AE326D"/>
    <w:rsid w:val="00AE7213"/>
    <w:rsid w:val="00AF19DC"/>
    <w:rsid w:val="00AF26D3"/>
    <w:rsid w:val="00B07C8C"/>
    <w:rsid w:val="00B108AB"/>
    <w:rsid w:val="00B21C90"/>
    <w:rsid w:val="00B24D2C"/>
    <w:rsid w:val="00B24FFD"/>
    <w:rsid w:val="00B26835"/>
    <w:rsid w:val="00B42143"/>
    <w:rsid w:val="00B4453D"/>
    <w:rsid w:val="00B52612"/>
    <w:rsid w:val="00B609F3"/>
    <w:rsid w:val="00B61482"/>
    <w:rsid w:val="00B62148"/>
    <w:rsid w:val="00B848BD"/>
    <w:rsid w:val="00BB2EF3"/>
    <w:rsid w:val="00BB7D70"/>
    <w:rsid w:val="00BD6EFF"/>
    <w:rsid w:val="00BE5C78"/>
    <w:rsid w:val="00BE70EA"/>
    <w:rsid w:val="00BF07AF"/>
    <w:rsid w:val="00BF1B3B"/>
    <w:rsid w:val="00BF7460"/>
    <w:rsid w:val="00C12F2A"/>
    <w:rsid w:val="00C2223B"/>
    <w:rsid w:val="00C33159"/>
    <w:rsid w:val="00C34C2E"/>
    <w:rsid w:val="00C45BAF"/>
    <w:rsid w:val="00C5710E"/>
    <w:rsid w:val="00C71A7B"/>
    <w:rsid w:val="00C7252B"/>
    <w:rsid w:val="00C74CF8"/>
    <w:rsid w:val="00C8146D"/>
    <w:rsid w:val="00C81EDC"/>
    <w:rsid w:val="00C8298F"/>
    <w:rsid w:val="00C9552F"/>
    <w:rsid w:val="00CA47F5"/>
    <w:rsid w:val="00CA75B6"/>
    <w:rsid w:val="00CD4FE5"/>
    <w:rsid w:val="00CE1E47"/>
    <w:rsid w:val="00CE6F19"/>
    <w:rsid w:val="00CF7263"/>
    <w:rsid w:val="00CF7F04"/>
    <w:rsid w:val="00D14F03"/>
    <w:rsid w:val="00D24514"/>
    <w:rsid w:val="00D2648C"/>
    <w:rsid w:val="00D404FA"/>
    <w:rsid w:val="00D41760"/>
    <w:rsid w:val="00D43851"/>
    <w:rsid w:val="00D44251"/>
    <w:rsid w:val="00D5291B"/>
    <w:rsid w:val="00D567C8"/>
    <w:rsid w:val="00D66757"/>
    <w:rsid w:val="00D713DF"/>
    <w:rsid w:val="00D95734"/>
    <w:rsid w:val="00DA1EFA"/>
    <w:rsid w:val="00DC0F12"/>
    <w:rsid w:val="00DC4864"/>
    <w:rsid w:val="00DC4D6C"/>
    <w:rsid w:val="00DD3314"/>
    <w:rsid w:val="00DE1633"/>
    <w:rsid w:val="00DF3483"/>
    <w:rsid w:val="00E03714"/>
    <w:rsid w:val="00E10717"/>
    <w:rsid w:val="00E1569F"/>
    <w:rsid w:val="00E20956"/>
    <w:rsid w:val="00E21D01"/>
    <w:rsid w:val="00E36D10"/>
    <w:rsid w:val="00E46DC6"/>
    <w:rsid w:val="00E5217F"/>
    <w:rsid w:val="00E53684"/>
    <w:rsid w:val="00E67A38"/>
    <w:rsid w:val="00E73E32"/>
    <w:rsid w:val="00E760A1"/>
    <w:rsid w:val="00E76DC0"/>
    <w:rsid w:val="00E800A5"/>
    <w:rsid w:val="00E85CF3"/>
    <w:rsid w:val="00EB1051"/>
    <w:rsid w:val="00ED2C85"/>
    <w:rsid w:val="00ED3171"/>
    <w:rsid w:val="00ED535C"/>
    <w:rsid w:val="00EE2820"/>
    <w:rsid w:val="00EE7351"/>
    <w:rsid w:val="00EF7791"/>
    <w:rsid w:val="00F05420"/>
    <w:rsid w:val="00F0600D"/>
    <w:rsid w:val="00F06057"/>
    <w:rsid w:val="00F25933"/>
    <w:rsid w:val="00F317A5"/>
    <w:rsid w:val="00F45196"/>
    <w:rsid w:val="00F46FE8"/>
    <w:rsid w:val="00F52B85"/>
    <w:rsid w:val="00F53925"/>
    <w:rsid w:val="00F56E87"/>
    <w:rsid w:val="00F712A5"/>
    <w:rsid w:val="00F71C98"/>
    <w:rsid w:val="00F7448A"/>
    <w:rsid w:val="00F77225"/>
    <w:rsid w:val="00F81833"/>
    <w:rsid w:val="00F85803"/>
    <w:rsid w:val="00F9463C"/>
    <w:rsid w:val="00FA6A74"/>
    <w:rsid w:val="00FB75BC"/>
    <w:rsid w:val="00FC1704"/>
    <w:rsid w:val="00FC4CE6"/>
    <w:rsid w:val="00FC5AE6"/>
    <w:rsid w:val="00FD65C8"/>
    <w:rsid w:val="00FE661B"/>
    <w:rsid w:val="00FF7A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CEC8"/>
  <w15:docId w15:val="{8288117C-B48E-4FA6-B689-88D933D2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03F"/>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40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4003F"/>
    <w:pPr>
      <w:ind w:left="720"/>
      <w:contextualSpacing/>
    </w:pPr>
  </w:style>
  <w:style w:type="character" w:customStyle="1" w:styleId="FontStyle42">
    <w:name w:val="Font Style42"/>
    <w:basedOn w:val="Domylnaczcionkaakapitu"/>
    <w:uiPriority w:val="99"/>
    <w:rsid w:val="0004003F"/>
    <w:rPr>
      <w:rFonts w:ascii="Times New Roman" w:hAnsi="Times New Roman" w:cs="Times New Roman"/>
      <w:sz w:val="22"/>
      <w:szCs w:val="22"/>
    </w:rPr>
  </w:style>
  <w:style w:type="paragraph" w:customStyle="1" w:styleId="Style9">
    <w:name w:val="Style9"/>
    <w:basedOn w:val="Normalny"/>
    <w:uiPriority w:val="99"/>
    <w:rsid w:val="0004003F"/>
    <w:pPr>
      <w:widowControl w:val="0"/>
      <w:autoSpaceDE w:val="0"/>
      <w:autoSpaceDN w:val="0"/>
      <w:adjustRightInd w:val="0"/>
      <w:spacing w:after="0" w:line="415" w:lineRule="exact"/>
      <w:jc w:val="both"/>
    </w:pPr>
    <w:rPr>
      <w:rFonts w:eastAsiaTheme="minorEastAsia" w:cs="Times New Roman"/>
      <w:szCs w:val="24"/>
      <w:lang w:eastAsia="pl-PL"/>
    </w:rPr>
  </w:style>
  <w:style w:type="paragraph" w:customStyle="1" w:styleId="Style7">
    <w:name w:val="Style7"/>
    <w:basedOn w:val="Normalny"/>
    <w:uiPriority w:val="99"/>
    <w:rsid w:val="0004003F"/>
    <w:pPr>
      <w:widowControl w:val="0"/>
      <w:autoSpaceDE w:val="0"/>
      <w:autoSpaceDN w:val="0"/>
      <w:adjustRightInd w:val="0"/>
      <w:spacing w:after="0" w:line="387" w:lineRule="exact"/>
      <w:jc w:val="both"/>
    </w:pPr>
    <w:rPr>
      <w:rFonts w:ascii="Cambria" w:eastAsiaTheme="minorEastAsia" w:hAnsi="Cambria"/>
      <w:szCs w:val="24"/>
      <w:lang w:eastAsia="pl-PL"/>
    </w:rPr>
  </w:style>
  <w:style w:type="paragraph" w:customStyle="1" w:styleId="Style3">
    <w:name w:val="Style3"/>
    <w:basedOn w:val="Normalny"/>
    <w:uiPriority w:val="99"/>
    <w:rsid w:val="0004003F"/>
    <w:pPr>
      <w:widowControl w:val="0"/>
      <w:autoSpaceDE w:val="0"/>
      <w:autoSpaceDN w:val="0"/>
      <w:adjustRightInd w:val="0"/>
      <w:spacing w:after="0" w:line="386" w:lineRule="exact"/>
      <w:jc w:val="both"/>
    </w:pPr>
    <w:rPr>
      <w:rFonts w:ascii="Cambria" w:eastAsiaTheme="minorEastAsia" w:hAnsi="Cambria"/>
      <w:szCs w:val="24"/>
      <w:lang w:eastAsia="pl-PL"/>
    </w:rPr>
  </w:style>
  <w:style w:type="paragraph" w:customStyle="1" w:styleId="Style8">
    <w:name w:val="Style8"/>
    <w:basedOn w:val="Normalny"/>
    <w:uiPriority w:val="99"/>
    <w:rsid w:val="0004003F"/>
    <w:pPr>
      <w:widowControl w:val="0"/>
      <w:autoSpaceDE w:val="0"/>
      <w:autoSpaceDN w:val="0"/>
      <w:adjustRightInd w:val="0"/>
      <w:spacing w:after="0" w:line="386" w:lineRule="exact"/>
      <w:ind w:firstLine="710"/>
      <w:jc w:val="both"/>
    </w:pPr>
    <w:rPr>
      <w:rFonts w:ascii="Cambria" w:eastAsiaTheme="minorEastAsia" w:hAnsi="Cambria"/>
      <w:szCs w:val="24"/>
      <w:lang w:eastAsia="pl-PL"/>
    </w:rPr>
  </w:style>
  <w:style w:type="paragraph" w:customStyle="1" w:styleId="Style1">
    <w:name w:val="Style1"/>
    <w:basedOn w:val="Normalny"/>
    <w:uiPriority w:val="99"/>
    <w:rsid w:val="0004003F"/>
    <w:pPr>
      <w:widowControl w:val="0"/>
      <w:autoSpaceDE w:val="0"/>
      <w:autoSpaceDN w:val="0"/>
      <w:adjustRightInd w:val="0"/>
      <w:spacing w:after="0" w:line="316" w:lineRule="exact"/>
    </w:pPr>
    <w:rPr>
      <w:rFonts w:ascii="Calibri" w:eastAsiaTheme="minorEastAsia" w:hAnsi="Calibri" w:cs="Calibri"/>
      <w:szCs w:val="24"/>
      <w:lang w:eastAsia="pl-PL"/>
    </w:rPr>
  </w:style>
  <w:style w:type="character" w:styleId="Odwoaniedokomentarza">
    <w:name w:val="annotation reference"/>
    <w:basedOn w:val="Domylnaczcionkaakapitu"/>
    <w:uiPriority w:val="99"/>
    <w:semiHidden/>
    <w:unhideWhenUsed/>
    <w:rsid w:val="00445E45"/>
    <w:rPr>
      <w:sz w:val="16"/>
      <w:szCs w:val="16"/>
    </w:rPr>
  </w:style>
  <w:style w:type="paragraph" w:styleId="Tekstkomentarza">
    <w:name w:val="annotation text"/>
    <w:basedOn w:val="Normalny"/>
    <w:link w:val="TekstkomentarzaZnak"/>
    <w:uiPriority w:val="99"/>
    <w:unhideWhenUsed/>
    <w:rsid w:val="00445E45"/>
    <w:pPr>
      <w:spacing w:line="240" w:lineRule="auto"/>
    </w:pPr>
    <w:rPr>
      <w:sz w:val="20"/>
      <w:szCs w:val="20"/>
    </w:rPr>
  </w:style>
  <w:style w:type="character" w:customStyle="1" w:styleId="TekstkomentarzaZnak">
    <w:name w:val="Tekst komentarza Znak"/>
    <w:basedOn w:val="Domylnaczcionkaakapitu"/>
    <w:link w:val="Tekstkomentarza"/>
    <w:uiPriority w:val="99"/>
    <w:rsid w:val="00445E45"/>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445E45"/>
    <w:rPr>
      <w:b/>
      <w:bCs/>
    </w:rPr>
  </w:style>
  <w:style w:type="character" w:customStyle="1" w:styleId="TematkomentarzaZnak">
    <w:name w:val="Temat komentarza Znak"/>
    <w:basedOn w:val="TekstkomentarzaZnak"/>
    <w:link w:val="Tematkomentarza"/>
    <w:uiPriority w:val="99"/>
    <w:semiHidden/>
    <w:rsid w:val="00445E45"/>
    <w:rPr>
      <w:rFonts w:ascii="Times New Roman" w:hAnsi="Times New Roman"/>
      <w:b/>
      <w:bCs/>
      <w:sz w:val="20"/>
      <w:szCs w:val="20"/>
    </w:rPr>
  </w:style>
  <w:style w:type="paragraph" w:styleId="Poprawka">
    <w:name w:val="Revision"/>
    <w:hidden/>
    <w:uiPriority w:val="99"/>
    <w:semiHidden/>
    <w:rsid w:val="00870489"/>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61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513B"/>
    <w:rPr>
      <w:rFonts w:ascii="Segoe UI" w:hAnsi="Segoe UI" w:cs="Segoe UI"/>
      <w:sz w:val="18"/>
      <w:szCs w:val="18"/>
    </w:rPr>
  </w:style>
  <w:style w:type="paragraph" w:customStyle="1" w:styleId="pf0">
    <w:name w:val="pf0"/>
    <w:basedOn w:val="Normalny"/>
    <w:rsid w:val="003D72FE"/>
    <w:pPr>
      <w:spacing w:before="100" w:beforeAutospacing="1" w:after="100" w:afterAutospacing="1" w:line="240" w:lineRule="auto"/>
    </w:pPr>
    <w:rPr>
      <w:rFonts w:eastAsia="Times New Roman" w:cs="Times New Roman"/>
      <w:szCs w:val="24"/>
      <w:lang w:eastAsia="pl-PL"/>
    </w:rPr>
  </w:style>
  <w:style w:type="character" w:customStyle="1" w:styleId="cf01">
    <w:name w:val="cf01"/>
    <w:basedOn w:val="Domylnaczcionkaakapitu"/>
    <w:rsid w:val="003D72FE"/>
    <w:rPr>
      <w:rFonts w:ascii="Segoe UI" w:hAnsi="Segoe UI" w:cs="Segoe UI" w:hint="default"/>
      <w:sz w:val="18"/>
      <w:szCs w:val="18"/>
    </w:rPr>
  </w:style>
  <w:style w:type="paragraph" w:styleId="NormalnyWeb">
    <w:name w:val="Normal (Web)"/>
    <w:basedOn w:val="Normalny"/>
    <w:uiPriority w:val="99"/>
    <w:semiHidden/>
    <w:unhideWhenUsed/>
    <w:rsid w:val="004230D8"/>
    <w:pPr>
      <w:spacing w:before="100" w:beforeAutospacing="1" w:after="100" w:afterAutospacing="1" w:line="240" w:lineRule="auto"/>
    </w:pPr>
    <w:rPr>
      <w:rFonts w:eastAsia="Times New Roman" w:cs="Times New Roman"/>
      <w:szCs w:val="24"/>
      <w:lang w:eastAsia="pl-PL"/>
    </w:rPr>
  </w:style>
  <w:style w:type="paragraph" w:customStyle="1" w:styleId="Default">
    <w:name w:val="Default"/>
    <w:rsid w:val="00A8442D"/>
    <w:pPr>
      <w:autoSpaceDE w:val="0"/>
      <w:autoSpaceDN w:val="0"/>
      <w:adjustRightInd w:val="0"/>
      <w:spacing w:after="0" w:line="240" w:lineRule="auto"/>
    </w:pPr>
    <w:rPr>
      <w:rFonts w:ascii="Barlow" w:hAnsi="Barlow" w:cs="Barlow"/>
      <w:color w:val="000000"/>
      <w:sz w:val="24"/>
      <w:szCs w:val="24"/>
    </w:rPr>
  </w:style>
  <w:style w:type="paragraph" w:styleId="Bezodstpw">
    <w:name w:val="No Spacing"/>
    <w:uiPriority w:val="1"/>
    <w:qFormat/>
    <w:rsid w:val="00EE2820"/>
    <w:pPr>
      <w:spacing w:after="0" w:line="240" w:lineRule="auto"/>
    </w:pPr>
    <w:rPr>
      <w:rFonts w:ascii="Times New Roman" w:hAnsi="Times New Roman"/>
      <w:sz w:val="24"/>
    </w:rPr>
  </w:style>
  <w:style w:type="paragraph" w:customStyle="1" w:styleId="ARTartustawynprozporzdzenia">
    <w:name w:val="ART(§) – art. ustawy (§ np. rozporządzenia)"/>
    <w:uiPriority w:val="11"/>
    <w:qFormat/>
    <w:rsid w:val="005C5AE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5C5AE6"/>
    <w:rPr>
      <w:b/>
    </w:rPr>
  </w:style>
  <w:style w:type="paragraph" w:styleId="Nagwek">
    <w:name w:val="header"/>
    <w:basedOn w:val="Normalny"/>
    <w:link w:val="NagwekZnak"/>
    <w:uiPriority w:val="99"/>
    <w:unhideWhenUsed/>
    <w:rsid w:val="004810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102F"/>
    <w:rPr>
      <w:rFonts w:ascii="Times New Roman" w:hAnsi="Times New Roman"/>
      <w:sz w:val="24"/>
    </w:rPr>
  </w:style>
  <w:style w:type="paragraph" w:styleId="Stopka">
    <w:name w:val="footer"/>
    <w:basedOn w:val="Normalny"/>
    <w:link w:val="StopkaZnak"/>
    <w:uiPriority w:val="99"/>
    <w:unhideWhenUsed/>
    <w:rsid w:val="004810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102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464365">
      <w:bodyDiv w:val="1"/>
      <w:marLeft w:val="0"/>
      <w:marRight w:val="0"/>
      <w:marTop w:val="0"/>
      <w:marBottom w:val="0"/>
      <w:divBdr>
        <w:top w:val="none" w:sz="0" w:space="0" w:color="auto"/>
        <w:left w:val="none" w:sz="0" w:space="0" w:color="auto"/>
        <w:bottom w:val="none" w:sz="0" w:space="0" w:color="auto"/>
        <w:right w:val="none" w:sz="0" w:space="0" w:color="auto"/>
      </w:divBdr>
    </w:div>
    <w:div w:id="518855358">
      <w:bodyDiv w:val="1"/>
      <w:marLeft w:val="0"/>
      <w:marRight w:val="0"/>
      <w:marTop w:val="0"/>
      <w:marBottom w:val="0"/>
      <w:divBdr>
        <w:top w:val="none" w:sz="0" w:space="0" w:color="auto"/>
        <w:left w:val="none" w:sz="0" w:space="0" w:color="auto"/>
        <w:bottom w:val="none" w:sz="0" w:space="0" w:color="auto"/>
        <w:right w:val="none" w:sz="0" w:space="0" w:color="auto"/>
      </w:divBdr>
    </w:div>
    <w:div w:id="647789205">
      <w:bodyDiv w:val="1"/>
      <w:marLeft w:val="0"/>
      <w:marRight w:val="0"/>
      <w:marTop w:val="0"/>
      <w:marBottom w:val="0"/>
      <w:divBdr>
        <w:top w:val="none" w:sz="0" w:space="0" w:color="auto"/>
        <w:left w:val="none" w:sz="0" w:space="0" w:color="auto"/>
        <w:bottom w:val="none" w:sz="0" w:space="0" w:color="auto"/>
        <w:right w:val="none" w:sz="0" w:space="0" w:color="auto"/>
      </w:divBdr>
    </w:div>
    <w:div w:id="808279211">
      <w:bodyDiv w:val="1"/>
      <w:marLeft w:val="0"/>
      <w:marRight w:val="0"/>
      <w:marTop w:val="0"/>
      <w:marBottom w:val="0"/>
      <w:divBdr>
        <w:top w:val="none" w:sz="0" w:space="0" w:color="auto"/>
        <w:left w:val="none" w:sz="0" w:space="0" w:color="auto"/>
        <w:bottom w:val="none" w:sz="0" w:space="0" w:color="auto"/>
        <w:right w:val="none" w:sz="0" w:space="0" w:color="auto"/>
      </w:divBdr>
    </w:div>
    <w:div w:id="1062873860">
      <w:bodyDiv w:val="1"/>
      <w:marLeft w:val="0"/>
      <w:marRight w:val="0"/>
      <w:marTop w:val="0"/>
      <w:marBottom w:val="0"/>
      <w:divBdr>
        <w:top w:val="none" w:sz="0" w:space="0" w:color="auto"/>
        <w:left w:val="none" w:sz="0" w:space="0" w:color="auto"/>
        <w:bottom w:val="none" w:sz="0" w:space="0" w:color="auto"/>
        <w:right w:val="none" w:sz="0" w:space="0" w:color="auto"/>
      </w:divBdr>
    </w:div>
    <w:div w:id="1144659807">
      <w:bodyDiv w:val="1"/>
      <w:marLeft w:val="0"/>
      <w:marRight w:val="0"/>
      <w:marTop w:val="0"/>
      <w:marBottom w:val="0"/>
      <w:divBdr>
        <w:top w:val="none" w:sz="0" w:space="0" w:color="auto"/>
        <w:left w:val="none" w:sz="0" w:space="0" w:color="auto"/>
        <w:bottom w:val="none" w:sz="0" w:space="0" w:color="auto"/>
        <w:right w:val="none" w:sz="0" w:space="0" w:color="auto"/>
      </w:divBdr>
    </w:div>
    <w:div w:id="1255019891">
      <w:bodyDiv w:val="1"/>
      <w:marLeft w:val="0"/>
      <w:marRight w:val="0"/>
      <w:marTop w:val="0"/>
      <w:marBottom w:val="0"/>
      <w:divBdr>
        <w:top w:val="none" w:sz="0" w:space="0" w:color="auto"/>
        <w:left w:val="none" w:sz="0" w:space="0" w:color="auto"/>
        <w:bottom w:val="none" w:sz="0" w:space="0" w:color="auto"/>
        <w:right w:val="none" w:sz="0" w:space="0" w:color="auto"/>
      </w:divBdr>
    </w:div>
    <w:div w:id="1831409336">
      <w:bodyDiv w:val="1"/>
      <w:marLeft w:val="0"/>
      <w:marRight w:val="0"/>
      <w:marTop w:val="0"/>
      <w:marBottom w:val="0"/>
      <w:divBdr>
        <w:top w:val="none" w:sz="0" w:space="0" w:color="auto"/>
        <w:left w:val="none" w:sz="0" w:space="0" w:color="auto"/>
        <w:bottom w:val="none" w:sz="0" w:space="0" w:color="auto"/>
        <w:right w:val="none" w:sz="0" w:space="0" w:color="auto"/>
      </w:divBdr>
    </w:div>
    <w:div w:id="1970553891">
      <w:bodyDiv w:val="1"/>
      <w:marLeft w:val="0"/>
      <w:marRight w:val="0"/>
      <w:marTop w:val="0"/>
      <w:marBottom w:val="0"/>
      <w:divBdr>
        <w:top w:val="none" w:sz="0" w:space="0" w:color="auto"/>
        <w:left w:val="none" w:sz="0" w:space="0" w:color="auto"/>
        <w:bottom w:val="none" w:sz="0" w:space="0" w:color="auto"/>
        <w:right w:val="none" w:sz="0" w:space="0" w:color="auto"/>
      </w:divBdr>
    </w:div>
    <w:div w:id="2002266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2BD1-FA29-40D5-84B7-F3C384E5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3668</Words>
  <Characters>22013</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Pijawska Vel Pakulska Maria  (DLPC)</dc:creator>
  <cp:keywords/>
  <dc:description/>
  <cp:lastModifiedBy>Kopczyńska Katarzyna  (DLPC)</cp:lastModifiedBy>
  <cp:revision>4</cp:revision>
  <cp:lastPrinted>2024-01-24T15:35:00Z</cp:lastPrinted>
  <dcterms:created xsi:type="dcterms:W3CDTF">2024-02-21T12:49:00Z</dcterms:created>
  <dcterms:modified xsi:type="dcterms:W3CDTF">2024-02-22T09:30:00Z</dcterms:modified>
</cp:coreProperties>
</file>